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b w:val="1"/>
          <w:bCs w:val="1"/>
          <w:color w:val="0070c0"/>
          <w:sz w:val="32"/>
          <w:szCs w:val="32"/>
          <w:u w:val="single"/>
        </w:rPr>
      </w:pPr>
      <w:r w:rsidDel="00000000" w:rsidR="00000000" w:rsidRPr="00000000">
        <w:rPr>
          <w:b w:val="1"/>
          <w:bCs w:val="1"/>
          <w:color w:val="0070c0"/>
          <w:sz w:val="32"/>
          <w:szCs w:val="32"/>
          <w:u w:val="single"/>
          <w:rtl w:val="0"/>
        </w:rPr>
        <w:t xml:space="preserve">Genetics Society of AustralAsia Smith-White Conference Award</w:t>
      </w:r>
    </w:p>
    <w:p w:rsidR="00000000" w:rsidDel="00000000" w:rsidP="00000000" w:rsidRDefault="00000000" w:rsidRPr="00000000" w14:paraId="00000002">
      <w:pPr>
        <w:ind w:left="-567" w:firstLine="0"/>
        <w:jc w:val="center"/>
        <w:rPr>
          <w:b w:val="1"/>
          <w:bCs w:val="1"/>
          <w:color w:val="0070c0"/>
          <w:sz w:val="32"/>
          <w:szCs w:val="32"/>
        </w:rPr>
      </w:pPr>
      <w:r w:rsidDel="00000000" w:rsidR="00000000" w:rsidRPr="00000000">
        <w:rPr>
          <w:b w:val="1"/>
          <w:bCs w:val="1"/>
          <w:color w:val="0070c0"/>
          <w:sz w:val="32"/>
          <w:szCs w:val="32"/>
          <w:rtl w:val="0"/>
        </w:rPr>
        <w:t xml:space="preserve">2026 Award Application Cover Sheet</w:t>
      </w:r>
    </w:p>
    <w:p w:rsidR="00000000" w:rsidDel="00000000" w:rsidP="00000000" w:rsidRDefault="00000000" w:rsidRPr="00000000" w14:paraId="00000003">
      <w:pPr>
        <w:ind w:left="-567" w:firstLine="0"/>
        <w:jc w:val="center"/>
        <w:rPr>
          <w:b w:val="1"/>
          <w:bCs w:val="1"/>
        </w:rPr>
      </w:pPr>
      <w:r w:rsidDel="00000000" w:rsidR="00000000" w:rsidRPr="00000000">
        <w:rPr>
          <w:rtl w:val="0"/>
        </w:rPr>
      </w:r>
    </w:p>
    <w:p w:rsidR="00000000" w:rsidDel="00000000" w:rsidP="00000000" w:rsidRDefault="00000000" w:rsidRPr="00000000" w14:paraId="00000004">
      <w:pPr>
        <w:ind w:left="-567" w:firstLine="0"/>
        <w:jc w:val="both"/>
        <w:rPr/>
      </w:pPr>
      <w:r w:rsidDel="00000000" w:rsidR="00000000" w:rsidRPr="00000000">
        <w:rPr>
          <w:rtl w:val="0"/>
        </w:rPr>
        <w:t xml:space="preserve">The Spencer Smith-White Conference Award is granted annually to assist PhD students who are members of GSA to attend the annual conference. Spencer 'Spinny' Smith-White was a founding member of the Genetics Society of AustralAsia. Spinny was a Professor of Genetics at the School of Biological Sciences at Sydney University. His work was in the field of cytogenetics. Spinny was a strong supporter of the Society and student participation in it. The rules of the award are as follows:</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The Prize is awarded annually</w:t>
      </w: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The GSA Committee will serve as the adjudication panel that awards the prize</w:t>
      </w: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ind w:left="-207" w:hanging="360"/>
        <w:jc w:val="both"/>
        <w:rPr/>
      </w:pPr>
      <w:bookmarkStart w:colFirst="0" w:colLast="0" w:name="_heading=h.gjdgxs" w:id="0"/>
      <w:bookmarkEnd w:id="0"/>
      <w:r w:rsidDel="00000000" w:rsidR="00000000" w:rsidRPr="00000000">
        <w:rPr>
          <w:color w:val="000000"/>
          <w:rtl w:val="0"/>
        </w:rPr>
        <w:t xml:space="preserve">The applicant must be a current financial member of GSA when the application is lodged</w:t>
      </w: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The applicant must be a currently enrolled PhD candidate at the time of the GSA conference in the year that they apply</w:t>
      </w: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Applicants must present their work at the GSA conference in the year that they apply. Both oral and poster presentations are acceptable. The presentation must substantially consist of the student's own work and the contribution of others must be clearly acknowledged</w:t>
      </w:r>
      <w:r w:rsidDel="00000000" w:rsidR="00000000" w:rsidRPr="00000000">
        <w:rPr>
          <w:rtl w:val="0"/>
        </w:rPr>
      </w:r>
    </w:p>
    <w:p w:rsidR="00000000" w:rsidDel="00000000" w:rsidP="00000000" w:rsidRDefault="00000000" w:rsidRPr="00000000" w14:paraId="0000000A">
      <w:pPr>
        <w:ind w:left="-567" w:firstLine="0"/>
        <w:jc w:val="both"/>
        <w:rPr/>
      </w:pPr>
      <w:r w:rsidDel="00000000" w:rsidR="00000000" w:rsidRPr="00000000">
        <w:rPr>
          <w:rtl w:val="0"/>
        </w:rPr>
      </w:r>
    </w:p>
    <w:p w:rsidR="00000000" w:rsidDel="00000000" w:rsidP="00000000" w:rsidRDefault="00000000" w:rsidRPr="00000000" w14:paraId="0000000B">
      <w:pPr>
        <w:ind w:left="-567" w:firstLine="0"/>
        <w:jc w:val="both"/>
        <w:rPr/>
      </w:pPr>
      <w:r w:rsidDel="00000000" w:rsidR="00000000" w:rsidRPr="00000000">
        <w:rPr>
          <w:rtl w:val="0"/>
        </w:rPr>
        <w:t xml:space="preserve">The award consists of:</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a certificate </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opportunity to present a talk or poster at the conference</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registration fees to attend the conference, including a dinner ticket</w:t>
      </w:r>
      <w:r w:rsidDel="00000000" w:rsidR="00000000" w:rsidRPr="00000000">
        <w:rPr>
          <w:rtl w:val="0"/>
        </w:rPr>
        <w:t xml:space="preserve"> (</w:t>
      </w:r>
      <w:r w:rsidDel="00000000" w:rsidR="00000000" w:rsidRPr="00000000">
        <w:rPr>
          <w:b w:val="1"/>
          <w:bCs w:val="1"/>
          <w:rtl w:val="0"/>
        </w:rPr>
        <w:t xml:space="preserve">Important note:</w:t>
      </w:r>
      <w:r w:rsidDel="00000000" w:rsidR="00000000" w:rsidRPr="00000000">
        <w:rPr>
          <w:rtl w:val="0"/>
        </w:rPr>
        <w:t xml:space="preserve"> all applicants should not register to the conference before their application outcome is known. Unsuccessful applicants will have guaranteed access to early bird registration fees)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153" w:hanging="360"/>
        <w:jc w:val="both"/>
        <w:rPr>
          <w:u w:val="none"/>
        </w:rPr>
      </w:pPr>
      <w:r w:rsidDel="00000000" w:rsidR="00000000" w:rsidRPr="00000000">
        <w:rPr>
          <w:rtl w:val="0"/>
        </w:rPr>
        <w:t xml:space="preserve">one year’s membership of GSA for the following calendar year</w:t>
      </w:r>
    </w:p>
    <w:p w:rsidR="00000000" w:rsidDel="00000000" w:rsidP="00000000" w:rsidRDefault="00000000" w:rsidRPr="00000000" w14:paraId="00000010">
      <w:pPr>
        <w:ind w:left="-567" w:firstLine="0"/>
        <w:rPr>
          <w:b w:val="1"/>
          <w:bCs w:val="1"/>
        </w:rPr>
      </w:pPr>
      <w:r w:rsidDel="00000000" w:rsidR="00000000" w:rsidRPr="00000000">
        <w:rPr>
          <w:rtl w:val="0"/>
        </w:rPr>
      </w:r>
    </w:p>
    <w:p w:rsidR="00000000" w:rsidDel="00000000" w:rsidP="00000000" w:rsidRDefault="00000000" w:rsidRPr="00000000" w14:paraId="00000011">
      <w:pPr>
        <w:ind w:left="-567" w:firstLine="0"/>
        <w:rPr>
          <w:b w:val="1"/>
          <w:bCs w:val="1"/>
          <w:color w:val="0070c0"/>
          <w:sz w:val="28"/>
          <w:szCs w:val="28"/>
          <w:u w:val="single"/>
        </w:rPr>
      </w:pPr>
      <w:r w:rsidDel="00000000" w:rsidR="00000000" w:rsidRPr="00000000">
        <w:rPr>
          <w:b w:val="1"/>
          <w:bCs w:val="1"/>
          <w:color w:val="0070c0"/>
          <w:sz w:val="28"/>
          <w:szCs w:val="28"/>
          <w:u w:val="single"/>
          <w:rtl w:val="0"/>
        </w:rPr>
        <w:t xml:space="preserve">Application information – Smith-White Travel Award 2026</w:t>
      </w:r>
    </w:p>
    <w:p w:rsidR="00000000" w:rsidDel="00000000" w:rsidP="00000000" w:rsidRDefault="00000000" w:rsidRPr="00000000" w14:paraId="00000012">
      <w:pPr>
        <w:ind w:left="-567" w:firstLine="0"/>
        <w:rPr>
          <w:b w:val="1"/>
          <w:bCs w:val="1"/>
          <w:color w:val="0070c0"/>
          <w:sz w:val="13"/>
          <w:szCs w:val="13"/>
          <w:u w:val="single"/>
        </w:rPr>
      </w:pPr>
      <w:r w:rsidDel="00000000" w:rsidR="00000000" w:rsidRPr="00000000">
        <w:rPr>
          <w:rtl w:val="0"/>
        </w:rPr>
      </w:r>
    </w:p>
    <w:tbl>
      <w:tblPr>
        <w:tblStyle w:val="Table1"/>
        <w:tblW w:w="90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13">
            <w:pPr>
              <w:spacing w:line="360" w:lineRule="auto"/>
              <w:rPr/>
            </w:pPr>
            <w:r w:rsidDel="00000000" w:rsidR="00000000" w:rsidRPr="00000000">
              <w:rPr>
                <w:rtl w:val="0"/>
              </w:rPr>
              <w:t xml:space="preserve">Name of applicant</w:t>
            </w:r>
          </w:p>
        </w:tc>
        <w:tc>
          <w:tcPr/>
          <w:p w:rsidR="00000000" w:rsidDel="00000000" w:rsidP="00000000" w:rsidRDefault="00000000" w:rsidRPr="00000000" w14:paraId="00000014">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line="360" w:lineRule="auto"/>
              <w:rPr/>
            </w:pPr>
            <w:r w:rsidDel="00000000" w:rsidR="00000000" w:rsidRPr="00000000">
              <w:rPr>
                <w:rtl w:val="0"/>
              </w:rPr>
              <w:t xml:space="preserve">Applicant email address</w:t>
            </w:r>
          </w:p>
        </w:tc>
        <w:tc>
          <w:tcPr/>
          <w:p w:rsidR="00000000" w:rsidDel="00000000" w:rsidP="00000000" w:rsidRDefault="00000000" w:rsidRPr="00000000" w14:paraId="00000016">
            <w:pPr>
              <w:spacing w:line="360" w:lineRule="auto"/>
              <w:rPr>
                <w:b w:val="1"/>
                <w:bCs w:val="1"/>
              </w:rPr>
            </w:pPr>
            <w:r w:rsidDel="00000000" w:rsidR="00000000" w:rsidRPr="00000000">
              <w:rPr>
                <w:rtl w:val="0"/>
              </w:rPr>
            </w:r>
          </w:p>
        </w:tc>
      </w:tr>
    </w:tbl>
    <w:p w:rsidR="00000000" w:rsidDel="00000000" w:rsidP="00000000" w:rsidRDefault="00000000" w:rsidRPr="00000000" w14:paraId="00000017">
      <w:pPr>
        <w:ind w:left="-567" w:firstLine="0"/>
        <w:rPr>
          <w:b w:val="1"/>
          <w:bCs w:val="1"/>
          <w:sz w:val="13"/>
          <w:szCs w:val="13"/>
        </w:rPr>
      </w:pPr>
      <w:r w:rsidDel="00000000" w:rsidR="00000000" w:rsidRPr="00000000">
        <w:rPr>
          <w:rtl w:val="0"/>
        </w:rPr>
      </w:r>
    </w:p>
    <w:p w:rsidR="00000000" w:rsidDel="00000000" w:rsidP="00000000" w:rsidRDefault="00000000" w:rsidRPr="00000000" w14:paraId="00000018">
      <w:pPr>
        <w:ind w:left="-567" w:firstLine="0"/>
        <w:jc w:val="both"/>
        <w:rPr/>
      </w:pPr>
      <w:r w:rsidDel="00000000" w:rsidR="00000000" w:rsidRPr="00000000">
        <w:rPr>
          <w:rtl w:val="0"/>
        </w:rPr>
        <w:t xml:space="preserve">If you are submitting a nomination on behalf of someone else, please provide your (the nominator’s) details below. If you are self-nominating, please leave this section blank. Note that both self-nominations and nominations on behalf of others are permitted and will be considered equally.</w:t>
      </w:r>
    </w:p>
    <w:p w:rsidR="00000000" w:rsidDel="00000000" w:rsidP="00000000" w:rsidRDefault="00000000" w:rsidRPr="00000000" w14:paraId="00000019">
      <w:pPr>
        <w:ind w:left="-567" w:firstLine="0"/>
        <w:jc w:val="both"/>
        <w:rPr>
          <w:b w:val="1"/>
          <w:bCs w:val="1"/>
        </w:rPr>
      </w:pPr>
      <w:r w:rsidDel="00000000" w:rsidR="00000000" w:rsidRPr="00000000">
        <w:rPr>
          <w:rtl w:val="0"/>
        </w:rPr>
      </w:r>
    </w:p>
    <w:tbl>
      <w:tblPr>
        <w:tblStyle w:val="Table2"/>
        <w:tblW w:w="90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1A">
            <w:pPr>
              <w:spacing w:line="360" w:lineRule="auto"/>
              <w:rPr/>
            </w:pPr>
            <w:r w:rsidDel="00000000" w:rsidR="00000000" w:rsidRPr="00000000">
              <w:rPr>
                <w:rtl w:val="0"/>
              </w:rPr>
              <w:t xml:space="preserve">Name of nominator </w:t>
            </w:r>
          </w:p>
        </w:tc>
        <w:tc>
          <w:tcPr/>
          <w:p w:rsidR="00000000" w:rsidDel="00000000" w:rsidP="00000000" w:rsidRDefault="00000000" w:rsidRPr="00000000" w14:paraId="0000001B">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360" w:lineRule="auto"/>
              <w:rPr/>
            </w:pPr>
            <w:r w:rsidDel="00000000" w:rsidR="00000000" w:rsidRPr="00000000">
              <w:rPr>
                <w:rtl w:val="0"/>
              </w:rPr>
              <w:t xml:space="preserve">Nominator email address</w:t>
            </w:r>
          </w:p>
        </w:tc>
        <w:tc>
          <w:tcPr/>
          <w:p w:rsidR="00000000" w:rsidDel="00000000" w:rsidP="00000000" w:rsidRDefault="00000000" w:rsidRPr="00000000" w14:paraId="0000001D">
            <w:pPr>
              <w:spacing w:line="360" w:lineRule="auto"/>
              <w:rPr>
                <w:b w:val="1"/>
                <w:bCs w:val="1"/>
              </w:rPr>
            </w:pPr>
            <w:r w:rsidDel="00000000" w:rsidR="00000000" w:rsidRPr="00000000">
              <w:rPr>
                <w:rtl w:val="0"/>
              </w:rPr>
            </w:r>
          </w:p>
        </w:tc>
      </w:tr>
    </w:tbl>
    <w:p w:rsidR="00000000" w:rsidDel="00000000" w:rsidP="00000000" w:rsidRDefault="00000000" w:rsidRPr="00000000" w14:paraId="0000001E">
      <w:pPr>
        <w:ind w:left="-567" w:firstLine="0"/>
        <w:rPr>
          <w:b w:val="1"/>
          <w:bCs w:val="1"/>
        </w:rPr>
      </w:pPr>
      <w:r w:rsidDel="00000000" w:rsidR="00000000" w:rsidRPr="00000000">
        <w:rPr>
          <w:rtl w:val="0"/>
        </w:rPr>
      </w:r>
    </w:p>
    <w:p w:rsidR="00000000" w:rsidDel="00000000" w:rsidP="00000000" w:rsidRDefault="00000000" w:rsidRPr="00000000" w14:paraId="0000001F">
      <w:pPr>
        <w:ind w:left="-567" w:firstLine="0"/>
        <w:rPr>
          <w:b w:val="1"/>
          <w:bCs w:val="1"/>
        </w:rPr>
      </w:pPr>
      <w:r w:rsidDel="00000000" w:rsidR="00000000" w:rsidRPr="00000000">
        <w:rPr>
          <w:b w:val="1"/>
          <w:bCs w:val="1"/>
          <w:rtl w:val="0"/>
        </w:rPr>
        <w:t xml:space="preserve">Award checklist</w:t>
      </w:r>
    </w:p>
    <w:p w:rsidR="00000000" w:rsidDel="00000000" w:rsidP="00000000" w:rsidRDefault="00000000" w:rsidRPr="00000000" w14:paraId="00000020">
      <w:pPr>
        <w:ind w:left="-567" w:firstLine="0"/>
        <w:jc w:val="both"/>
        <w:rPr/>
      </w:pPr>
      <w:r w:rsidDel="00000000" w:rsidR="00000000" w:rsidRPr="00000000">
        <w:rPr>
          <w:rtl w:val="0"/>
        </w:rPr>
        <w:t xml:space="preserve">The following documents should be included:</w:t>
      </w:r>
    </w:p>
    <w:p w:rsidR="00000000" w:rsidDel="00000000" w:rsidP="00000000" w:rsidRDefault="00000000" w:rsidRPr="00000000" w14:paraId="00000021">
      <w:pPr>
        <w:numPr>
          <w:ilvl w:val="0"/>
          <w:numId w:val="1"/>
        </w:numPr>
        <w:ind w:left="153" w:hanging="360"/>
        <w:jc w:val="both"/>
        <w:rPr/>
      </w:pPr>
      <w:r w:rsidDel="00000000" w:rsidR="00000000" w:rsidRPr="00000000">
        <w:rPr>
          <w:rtl w:val="0"/>
        </w:rPr>
        <w:t xml:space="preserve">this completed cover sheet</w:t>
      </w:r>
    </w:p>
    <w:p w:rsidR="00000000" w:rsidDel="00000000" w:rsidP="00000000" w:rsidRDefault="00000000" w:rsidRPr="00000000" w14:paraId="00000022">
      <w:pPr>
        <w:numPr>
          <w:ilvl w:val="0"/>
          <w:numId w:val="1"/>
        </w:numPr>
        <w:ind w:left="153" w:hanging="360"/>
        <w:jc w:val="both"/>
        <w:rPr/>
      </w:pPr>
      <w:r w:rsidDel="00000000" w:rsidR="00000000" w:rsidRPr="00000000">
        <w:rPr>
          <w:rtl w:val="0"/>
        </w:rPr>
        <w:t xml:space="preserve">the applicant’s CV (no more than two pages)</w:t>
      </w:r>
    </w:p>
    <w:p w:rsidR="00000000" w:rsidDel="00000000" w:rsidP="00000000" w:rsidRDefault="00000000" w:rsidRPr="00000000" w14:paraId="00000023">
      <w:pPr>
        <w:numPr>
          <w:ilvl w:val="0"/>
          <w:numId w:val="1"/>
        </w:numPr>
        <w:ind w:left="153" w:hanging="360"/>
        <w:rPr/>
      </w:pPr>
      <w:r w:rsidDel="00000000" w:rsidR="00000000" w:rsidRPr="00000000">
        <w:rPr>
          <w:rtl w:val="0"/>
        </w:rPr>
        <w:t xml:space="preserve">a one-page summary of the applicant’s PhD research</w:t>
      </w:r>
    </w:p>
    <w:p w:rsidR="00000000" w:rsidDel="00000000" w:rsidP="00000000" w:rsidRDefault="00000000" w:rsidRPr="00000000" w14:paraId="00000024">
      <w:pPr>
        <w:numPr>
          <w:ilvl w:val="0"/>
          <w:numId w:val="1"/>
        </w:numPr>
        <w:ind w:left="153" w:hanging="360"/>
        <w:rPr/>
      </w:pPr>
      <w:r w:rsidDel="00000000" w:rsidR="00000000" w:rsidRPr="00000000">
        <w:rPr>
          <w:rtl w:val="0"/>
        </w:rPr>
        <w:t xml:space="preserve">letter of support from one referee (preferably the applicant's PhD supervisor or an academic familiar with the PhD project) to be emailed directly to </w:t>
      </w:r>
      <w:hyperlink r:id="rId7">
        <w:r w:rsidDel="00000000" w:rsidR="00000000" w:rsidRPr="00000000">
          <w:rPr>
            <w:color w:val="1155cc"/>
            <w:u w:val="single"/>
            <w:rtl w:val="0"/>
          </w:rPr>
          <w:t xml:space="preserve">GSA@asnevents.net.au</w:t>
        </w:r>
      </w:hyperlink>
      <w:r w:rsidDel="00000000" w:rsidR="00000000" w:rsidRPr="00000000">
        <w:rPr>
          <w:rtl w:val="0"/>
        </w:rPr>
        <w:t xml:space="preserve"> by the closing date with “Smith-White Award” and the applicant’s surname in the subject line</w:t>
      </w:r>
    </w:p>
    <w:p w:rsidR="00000000" w:rsidDel="00000000" w:rsidP="00000000" w:rsidRDefault="00000000" w:rsidRPr="00000000" w14:paraId="00000025">
      <w:pPr>
        <w:ind w:left="153" w:firstLine="0"/>
        <w:rPr/>
      </w:pPr>
      <w:r w:rsidDel="00000000" w:rsidR="00000000" w:rsidRPr="00000000">
        <w:rPr>
          <w:rtl w:val="0"/>
        </w:rPr>
      </w:r>
    </w:p>
    <w:p w:rsidR="00000000" w:rsidDel="00000000" w:rsidP="00000000" w:rsidRDefault="00000000" w:rsidRPr="00000000" w14:paraId="00000026">
      <w:pPr>
        <w:ind w:left="-567" w:firstLine="0"/>
        <w:rPr>
          <w:b w:val="1"/>
          <w:bCs w:val="1"/>
        </w:rPr>
      </w:pPr>
      <w:r w:rsidDel="00000000" w:rsidR="00000000" w:rsidRPr="00000000">
        <w:rPr>
          <w:b w:val="1"/>
          <w:bCs w:val="1"/>
          <w:rtl w:val="0"/>
        </w:rPr>
        <w:t xml:space="preserve">How to apply</w:t>
      </w:r>
    </w:p>
    <w:p w:rsidR="00000000" w:rsidDel="00000000" w:rsidP="00000000" w:rsidRDefault="00000000" w:rsidRPr="00000000" w14:paraId="00000027">
      <w:pPr>
        <w:ind w:left="-567" w:firstLine="0"/>
        <w:rPr/>
      </w:pPr>
      <w:r w:rsidDel="00000000" w:rsidR="00000000" w:rsidRPr="00000000">
        <w:rPr>
          <w:rtl w:val="0"/>
        </w:rPr>
        <w:t xml:space="preserve">Applications must be submitted by email by midnight (AEDT) </w:t>
      </w: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February</w:t>
      </w:r>
      <w:r w:rsidDel="00000000" w:rsidR="00000000" w:rsidRPr="00000000">
        <w:rPr>
          <w:rtl w:val="0"/>
        </w:rPr>
        <w:t xml:space="preserve"> 2026 to </w:t>
      </w:r>
      <w:hyperlink r:id="rId8">
        <w:r w:rsidDel="00000000" w:rsidR="00000000" w:rsidRPr="00000000">
          <w:rPr>
            <w:color w:val="1155cc"/>
            <w:u w:val="single"/>
            <w:rtl w:val="0"/>
          </w:rPr>
          <w:t xml:space="preserve">GSA@asnevents.net.au</w:t>
        </w:r>
      </w:hyperlink>
      <w:r w:rsidDel="00000000" w:rsidR="00000000" w:rsidRPr="00000000">
        <w:rPr>
          <w:rtl w:val="0"/>
        </w:rPr>
        <w:t xml:space="preserve"> with “Smith-White Award” in the subject line.</w:t>
      </w:r>
    </w:p>
    <w:sectPr>
      <w:footerReference r:id="rId9" w:type="even"/>
      <w:pgSz w:h="16840" w:w="11900" w:orient="portrait"/>
      <w:pgMar w:bottom="1134" w:top="1134" w:left="1361" w:right="130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2">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C4F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4FED"/>
    <w:pPr>
      <w:ind w:left="720"/>
      <w:contextualSpacing w:val="1"/>
    </w:pPr>
  </w:style>
  <w:style w:type="paragraph" w:styleId="Footer">
    <w:name w:val="footer"/>
    <w:basedOn w:val="Normal"/>
    <w:link w:val="FooterChar"/>
    <w:uiPriority w:val="99"/>
    <w:unhideWhenUsed w:val="1"/>
    <w:rsid w:val="00D16CD0"/>
    <w:pPr>
      <w:tabs>
        <w:tab w:val="center" w:pos="4513"/>
        <w:tab w:val="right" w:pos="9026"/>
      </w:tabs>
    </w:pPr>
  </w:style>
  <w:style w:type="character" w:styleId="FooterChar" w:customStyle="1">
    <w:name w:val="Footer Char"/>
    <w:basedOn w:val="DefaultParagraphFont"/>
    <w:link w:val="Footer"/>
    <w:uiPriority w:val="99"/>
    <w:rsid w:val="00D16CD0"/>
    <w:rPr>
      <w:rFonts w:eastAsiaTheme="minorEastAsia"/>
      <w:lang w:val="en-US"/>
    </w:rPr>
  </w:style>
  <w:style w:type="character" w:styleId="PageNumber">
    <w:name w:val="page number"/>
    <w:basedOn w:val="DefaultParagraphFont"/>
    <w:uiPriority w:val="99"/>
    <w:semiHidden w:val="1"/>
    <w:unhideWhenUsed w:val="1"/>
    <w:rsid w:val="00D16CD0"/>
  </w:style>
  <w:style w:type="paragraph" w:styleId="Header">
    <w:name w:val="header"/>
    <w:basedOn w:val="Normal"/>
    <w:link w:val="HeaderChar"/>
    <w:uiPriority w:val="99"/>
    <w:unhideWhenUsed w:val="1"/>
    <w:rsid w:val="00C84EF1"/>
    <w:pPr>
      <w:tabs>
        <w:tab w:val="center" w:pos="4513"/>
        <w:tab w:val="right" w:pos="9026"/>
      </w:tabs>
    </w:pPr>
  </w:style>
  <w:style w:type="character" w:styleId="HeaderChar" w:customStyle="1">
    <w:name w:val="Header Char"/>
    <w:basedOn w:val="DefaultParagraphFont"/>
    <w:link w:val="Header"/>
    <w:uiPriority w:val="99"/>
    <w:rsid w:val="00C84EF1"/>
    <w:rPr>
      <w:rFonts w:eastAsiaTheme="minorEastAsia"/>
      <w:lang w:val="en-US"/>
    </w:rPr>
  </w:style>
  <w:style w:type="character" w:styleId="Hyperlink">
    <w:name w:val="Hyperlink"/>
    <w:basedOn w:val="DefaultParagraphFont"/>
    <w:uiPriority w:val="99"/>
    <w:unhideWhenUsed w:val="1"/>
    <w:rsid w:val="003570EE"/>
    <w:rPr>
      <w:color w:val="0563c1" w:themeColor="hyperlink"/>
      <w:u w:val="single"/>
    </w:rPr>
  </w:style>
  <w:style w:type="character" w:styleId="UnresolvedMention">
    <w:name w:val="Unresolved Mention"/>
    <w:basedOn w:val="DefaultParagraphFont"/>
    <w:uiPriority w:val="99"/>
    <w:rsid w:val="003570EE"/>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asnevents.net.au" TargetMode="External"/><Relationship Id="rId8" Type="http://schemas.openxmlformats.org/officeDocument/2006/relationships/hyperlink" Target="mailto:GSA@asnevents.net.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HIAf8lX6jjrcAcnBFTmPSn/7g==">CgMxLjAyCGguZ2pkZ3hzOAByITFVMFkyNUUwRmRtaGhJNnFMWWZEWUNJclpnd1JZTm1XRA==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2020-01-24T01:38:00Z</dcterms:created>
  <dc:creator>Anna MacDonald</dc:creator>
</cp:coreProperties>
</file>