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567" w:firstLine="0"/>
        <w:jc w:val="center"/>
        <w:rPr>
          <w:b w:val="1"/>
          <w:bCs w:val="1"/>
          <w:color w:val="0070c0"/>
          <w:sz w:val="32"/>
          <w:szCs w:val="32"/>
          <w:u w:val="single"/>
        </w:rPr>
      </w:pPr>
      <w:r w:rsidDel="00000000" w:rsidR="00000000" w:rsidRPr="00000000">
        <w:rPr>
          <w:b w:val="1"/>
          <w:bCs w:val="1"/>
          <w:color w:val="0070c0"/>
          <w:sz w:val="32"/>
          <w:szCs w:val="32"/>
          <w:u w:val="single"/>
          <w:rtl w:val="0"/>
        </w:rPr>
        <w:t xml:space="preserve">Genetics Society of AustralAsia MJD White Medal</w:t>
      </w:r>
    </w:p>
    <w:p w:rsidR="00000000" w:rsidDel="00000000" w:rsidP="00000000" w:rsidRDefault="00000000" w:rsidRPr="00000000" w14:paraId="00000002">
      <w:pPr>
        <w:ind w:left="-567" w:firstLine="0"/>
        <w:jc w:val="center"/>
        <w:rPr>
          <w:b w:val="1"/>
          <w:bCs w:val="1"/>
          <w:color w:val="0070c0"/>
          <w:sz w:val="32"/>
          <w:szCs w:val="32"/>
        </w:rPr>
      </w:pPr>
      <w:r w:rsidDel="00000000" w:rsidR="00000000" w:rsidRPr="00000000">
        <w:rPr>
          <w:b w:val="1"/>
          <w:bCs w:val="1"/>
          <w:color w:val="0070c0"/>
          <w:sz w:val="32"/>
          <w:szCs w:val="32"/>
          <w:rtl w:val="0"/>
        </w:rPr>
        <w:t xml:space="preserve">2026 Award Application Cover Sheet</w:t>
      </w:r>
    </w:p>
    <w:p w:rsidR="00000000" w:rsidDel="00000000" w:rsidP="00000000" w:rsidRDefault="00000000" w:rsidRPr="00000000" w14:paraId="00000003">
      <w:pPr>
        <w:ind w:left="-567" w:firstLine="0"/>
        <w:jc w:val="center"/>
        <w:rPr>
          <w:b w:val="1"/>
          <w:bCs w:val="1"/>
        </w:rPr>
      </w:pPr>
      <w:r w:rsidDel="00000000" w:rsidR="00000000" w:rsidRPr="00000000">
        <w:rPr>
          <w:rtl w:val="0"/>
        </w:rPr>
      </w:r>
    </w:p>
    <w:p w:rsidR="00000000" w:rsidDel="00000000" w:rsidP="00000000" w:rsidRDefault="00000000" w:rsidRPr="00000000" w14:paraId="00000004">
      <w:pPr>
        <w:ind w:left="-567" w:firstLine="0"/>
        <w:jc w:val="both"/>
        <w:rPr/>
      </w:pPr>
      <w:r w:rsidDel="00000000" w:rsidR="00000000" w:rsidRPr="00000000">
        <w:rPr>
          <w:rtl w:val="0"/>
        </w:rPr>
        <w:t xml:space="preserve">The MJD White Medal was established in 2009 by the Genetics Society of AustralAsia to recognise outstanding contributions to the field of genetics research by Australasian scientists. The medal commemorates Michael White, who proposed the formation of the Genetics Society of Australia in 1953. This award is intended to recognise excellence in genetics research and may be awarded for a lifetime’s contribution to genetic research or for work by a mid-career scientist either leading to a paradigm shift in genetics or for a large body of work that is recognised as of major significance in a specific field of genetics. </w:t>
      </w:r>
    </w:p>
    <w:p w:rsidR="00000000" w:rsidDel="00000000" w:rsidP="00000000" w:rsidRDefault="00000000" w:rsidRPr="00000000" w14:paraId="00000005">
      <w:pPr>
        <w:ind w:left="-567" w:firstLine="0"/>
        <w:jc w:val="both"/>
        <w:rPr/>
      </w:pPr>
      <w:r w:rsidDel="00000000" w:rsidR="00000000" w:rsidRPr="00000000">
        <w:rPr>
          <w:rtl w:val="0"/>
        </w:rPr>
      </w:r>
    </w:p>
    <w:p w:rsidR="00000000" w:rsidDel="00000000" w:rsidP="00000000" w:rsidRDefault="00000000" w:rsidRPr="00000000" w14:paraId="00000006">
      <w:pPr>
        <w:ind w:left="-567" w:firstLine="0"/>
        <w:jc w:val="both"/>
        <w:rPr/>
      </w:pPr>
      <w:r w:rsidDel="00000000" w:rsidR="00000000" w:rsidRPr="00000000">
        <w:rPr>
          <w:rtl w:val="0"/>
        </w:rPr>
        <w:t xml:space="preserve">The medal is awarded to one scientist at the Genetics Society of AustralAsia’s annual meeting. It is accepted by delivering the MJD White lecture at the meeting. </w:t>
      </w:r>
    </w:p>
    <w:p w:rsidR="00000000" w:rsidDel="00000000" w:rsidP="00000000" w:rsidRDefault="00000000" w:rsidRPr="00000000" w14:paraId="00000007">
      <w:pPr>
        <w:ind w:left="-567" w:firstLine="0"/>
        <w:jc w:val="both"/>
        <w:rPr/>
      </w:pPr>
      <w:r w:rsidDel="00000000" w:rsidR="00000000" w:rsidRPr="00000000">
        <w:rPr>
          <w:rtl w:val="0"/>
        </w:rPr>
      </w:r>
    </w:p>
    <w:p w:rsidR="00000000" w:rsidDel="00000000" w:rsidP="00000000" w:rsidRDefault="00000000" w:rsidRPr="00000000" w14:paraId="00000008">
      <w:pPr>
        <w:ind w:left="-567" w:firstLine="0"/>
        <w:jc w:val="both"/>
        <w:rPr/>
      </w:pPr>
      <w:r w:rsidDel="00000000" w:rsidR="00000000" w:rsidRPr="00000000">
        <w:rPr>
          <w:rtl w:val="0"/>
        </w:rPr>
        <w:t xml:space="preserve">The award consists of:</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the MJD White Medal</w:t>
      </w: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the opportunity to present the MJD White lecture at the conference </w:t>
      </w:r>
      <w:r w:rsidDel="00000000" w:rsidR="00000000" w:rsidRPr="00000000">
        <w:rPr>
          <w:rtl w:val="0"/>
        </w:rPr>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registration fees to attend the conference, including a dinner ticket</w:t>
      </w:r>
      <w:r w:rsidDel="00000000" w:rsidR="00000000" w:rsidRPr="00000000">
        <w:rPr>
          <w:rtl w:val="0"/>
        </w:rPr>
        <w:t xml:space="preserve"> (</w:t>
      </w:r>
      <w:r w:rsidDel="00000000" w:rsidR="00000000" w:rsidRPr="00000000">
        <w:rPr>
          <w:b w:val="1"/>
          <w:bCs w:val="1"/>
          <w:rtl w:val="0"/>
        </w:rPr>
        <w:t xml:space="preserve">Important note: </w:t>
      </w:r>
      <w:r w:rsidDel="00000000" w:rsidR="00000000" w:rsidRPr="00000000">
        <w:rPr>
          <w:rtl w:val="0"/>
        </w:rPr>
        <w:t xml:space="preserve">all applicants should not register to the conference before their application outcome is known. Unsuccessful applicants will have guaranteed access to early bird registration fees)</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153" w:hanging="360"/>
        <w:jc w:val="both"/>
        <w:rPr/>
      </w:pPr>
      <w:r w:rsidDel="00000000" w:rsidR="00000000" w:rsidRPr="00000000">
        <w:rPr>
          <w:color w:val="000000"/>
          <w:rtl w:val="0"/>
        </w:rPr>
        <w:t xml:space="preserve">where international travel from the normal place of work is required to attend the meeting, the Society may contribute to travel costs</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ind w:left="153" w:hanging="360"/>
        <w:jc w:val="both"/>
        <w:rPr>
          <w:u w:val="none"/>
        </w:rPr>
      </w:pPr>
      <w:r w:rsidDel="00000000" w:rsidR="00000000" w:rsidRPr="00000000">
        <w:rPr>
          <w:rtl w:val="0"/>
        </w:rPr>
        <w:t xml:space="preserve">Lifetime GSA membership</w:t>
      </w:r>
    </w:p>
    <w:p w:rsidR="00000000" w:rsidDel="00000000" w:rsidP="00000000" w:rsidRDefault="00000000" w:rsidRPr="00000000" w14:paraId="0000000E">
      <w:pPr>
        <w:ind w:left="-567" w:firstLine="0"/>
        <w:rPr>
          <w:b w:val="1"/>
          <w:bCs w:val="1"/>
        </w:rPr>
      </w:pPr>
      <w:r w:rsidDel="00000000" w:rsidR="00000000" w:rsidRPr="00000000">
        <w:rPr>
          <w:rtl w:val="0"/>
        </w:rPr>
      </w:r>
    </w:p>
    <w:p w:rsidR="00000000" w:rsidDel="00000000" w:rsidP="00000000" w:rsidRDefault="00000000" w:rsidRPr="00000000" w14:paraId="0000000F">
      <w:pPr>
        <w:ind w:left="-567" w:firstLine="0"/>
        <w:rPr>
          <w:b w:val="1"/>
          <w:bCs w:val="1"/>
        </w:rPr>
      </w:pPr>
      <w:r w:rsidDel="00000000" w:rsidR="00000000" w:rsidRPr="00000000">
        <w:rPr>
          <w:b w:val="1"/>
          <w:bCs w:val="1"/>
          <w:color w:val="0070c0"/>
          <w:sz w:val="28"/>
          <w:szCs w:val="28"/>
          <w:u w:val="single"/>
          <w:rtl w:val="0"/>
        </w:rPr>
        <w:t xml:space="preserve">Application information - MJD White Medal 2026</w:t>
      </w:r>
      <w:r w:rsidDel="00000000" w:rsidR="00000000" w:rsidRPr="00000000">
        <w:rPr>
          <w:rtl w:val="0"/>
        </w:rPr>
      </w:r>
    </w:p>
    <w:p w:rsidR="00000000" w:rsidDel="00000000" w:rsidP="00000000" w:rsidRDefault="00000000" w:rsidRPr="00000000" w14:paraId="00000010">
      <w:pPr>
        <w:ind w:left="-567" w:firstLine="0"/>
        <w:rPr/>
      </w:pPr>
      <w:r w:rsidDel="00000000" w:rsidR="00000000" w:rsidRPr="00000000">
        <w:rPr>
          <w:rtl w:val="0"/>
        </w:rPr>
        <w:t xml:space="preserve">Please provide the details of the person nominated for the MJD White Medal here:</w:t>
      </w:r>
    </w:p>
    <w:p w:rsidR="00000000" w:rsidDel="00000000" w:rsidP="00000000" w:rsidRDefault="00000000" w:rsidRPr="00000000" w14:paraId="00000011">
      <w:pPr>
        <w:ind w:left="-567" w:firstLine="0"/>
        <w:rPr>
          <w:b w:val="1"/>
          <w:bCs w:val="1"/>
        </w:rPr>
      </w:pPr>
      <w:r w:rsidDel="00000000" w:rsidR="00000000" w:rsidRPr="00000000">
        <w:rPr>
          <w:rtl w:val="0"/>
        </w:rPr>
      </w:r>
    </w:p>
    <w:tbl>
      <w:tblPr>
        <w:tblStyle w:val="Table1"/>
        <w:tblW w:w="901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1"/>
        <w:tblGridChange w:id="0">
          <w:tblGrid>
            <w:gridCol w:w="3539"/>
            <w:gridCol w:w="5471"/>
          </w:tblGrid>
        </w:tblGridChange>
      </w:tblGrid>
      <w:tr>
        <w:trPr>
          <w:cantSplit w:val="0"/>
          <w:tblHeader w:val="0"/>
        </w:trPr>
        <w:tc>
          <w:tcPr/>
          <w:p w:rsidR="00000000" w:rsidDel="00000000" w:rsidP="00000000" w:rsidRDefault="00000000" w:rsidRPr="00000000" w14:paraId="00000012">
            <w:pPr>
              <w:spacing w:line="360" w:lineRule="auto"/>
              <w:rPr/>
            </w:pPr>
            <w:r w:rsidDel="00000000" w:rsidR="00000000" w:rsidRPr="00000000">
              <w:rPr>
                <w:rtl w:val="0"/>
              </w:rPr>
              <w:t xml:space="preserve">Name of nominee</w:t>
            </w:r>
          </w:p>
        </w:tc>
        <w:tc>
          <w:tcPr/>
          <w:p w:rsidR="00000000" w:rsidDel="00000000" w:rsidP="00000000" w:rsidRDefault="00000000" w:rsidRPr="00000000" w14:paraId="00000013">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line="360" w:lineRule="auto"/>
              <w:rPr/>
            </w:pPr>
            <w:r w:rsidDel="00000000" w:rsidR="00000000" w:rsidRPr="00000000">
              <w:rPr>
                <w:rtl w:val="0"/>
              </w:rPr>
              <w:t xml:space="preserve">Nominee email address</w:t>
            </w:r>
          </w:p>
        </w:tc>
        <w:tc>
          <w:tcPr/>
          <w:p w:rsidR="00000000" w:rsidDel="00000000" w:rsidP="00000000" w:rsidRDefault="00000000" w:rsidRPr="00000000" w14:paraId="00000015">
            <w:pPr>
              <w:spacing w:line="360" w:lineRule="auto"/>
              <w:rPr>
                <w:b w:val="1"/>
                <w:bCs w:val="1"/>
              </w:rPr>
            </w:pPr>
            <w:r w:rsidDel="00000000" w:rsidR="00000000" w:rsidRPr="00000000">
              <w:rPr>
                <w:rtl w:val="0"/>
              </w:rPr>
            </w:r>
          </w:p>
        </w:tc>
      </w:tr>
    </w:tbl>
    <w:p w:rsidR="00000000" w:rsidDel="00000000" w:rsidP="00000000" w:rsidRDefault="00000000" w:rsidRPr="00000000" w14:paraId="00000016">
      <w:pPr>
        <w:ind w:left="-567" w:firstLine="0"/>
        <w:rPr>
          <w:b w:val="1"/>
          <w:bCs w:val="1"/>
        </w:rPr>
      </w:pPr>
      <w:r w:rsidDel="00000000" w:rsidR="00000000" w:rsidRPr="00000000">
        <w:rPr>
          <w:rtl w:val="0"/>
        </w:rPr>
      </w:r>
    </w:p>
    <w:p w:rsidR="00000000" w:rsidDel="00000000" w:rsidP="00000000" w:rsidRDefault="00000000" w:rsidRPr="00000000" w14:paraId="00000017">
      <w:pPr>
        <w:ind w:left="-567" w:firstLine="0"/>
        <w:rPr>
          <w:b w:val="1"/>
          <w:bCs w:val="1"/>
        </w:rPr>
      </w:pPr>
      <w:r w:rsidDel="00000000" w:rsidR="00000000" w:rsidRPr="00000000">
        <w:rPr>
          <w:rtl w:val="0"/>
        </w:rPr>
        <w:t xml:space="preserve">Nominations for the MJD White Medal should come from a member of GSA.</w:t>
      </w:r>
      <w:r w:rsidDel="00000000" w:rsidR="00000000" w:rsidRPr="00000000">
        <w:rPr>
          <w:b w:val="1"/>
          <w:bCs w:val="1"/>
          <w:rtl w:val="0"/>
        </w:rPr>
        <w:t xml:space="preserve"> </w:t>
      </w:r>
      <w:r w:rsidDel="00000000" w:rsidR="00000000" w:rsidRPr="00000000">
        <w:rPr>
          <w:rtl w:val="0"/>
        </w:rPr>
        <w:t xml:space="preserve">Please provide the nominator’s details here:</w:t>
      </w:r>
      <w:r w:rsidDel="00000000" w:rsidR="00000000" w:rsidRPr="00000000">
        <w:rPr>
          <w:rtl w:val="0"/>
        </w:rPr>
      </w:r>
    </w:p>
    <w:p w:rsidR="00000000" w:rsidDel="00000000" w:rsidP="00000000" w:rsidRDefault="00000000" w:rsidRPr="00000000" w14:paraId="00000018">
      <w:pPr>
        <w:ind w:left="-567" w:firstLine="0"/>
        <w:jc w:val="both"/>
        <w:rPr>
          <w:b w:val="1"/>
          <w:bCs w:val="1"/>
        </w:rPr>
      </w:pPr>
      <w:r w:rsidDel="00000000" w:rsidR="00000000" w:rsidRPr="00000000">
        <w:rPr>
          <w:rtl w:val="0"/>
        </w:rPr>
      </w:r>
    </w:p>
    <w:tbl>
      <w:tblPr>
        <w:tblStyle w:val="Table2"/>
        <w:tblW w:w="901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471"/>
        <w:tblGridChange w:id="0">
          <w:tblGrid>
            <w:gridCol w:w="3539"/>
            <w:gridCol w:w="5471"/>
          </w:tblGrid>
        </w:tblGridChange>
      </w:tblGrid>
      <w:tr>
        <w:trPr>
          <w:cantSplit w:val="0"/>
          <w:tblHeader w:val="0"/>
        </w:trPr>
        <w:tc>
          <w:tcPr/>
          <w:p w:rsidR="00000000" w:rsidDel="00000000" w:rsidP="00000000" w:rsidRDefault="00000000" w:rsidRPr="00000000" w14:paraId="00000019">
            <w:pPr>
              <w:spacing w:line="360" w:lineRule="auto"/>
              <w:rPr/>
            </w:pPr>
            <w:r w:rsidDel="00000000" w:rsidR="00000000" w:rsidRPr="00000000">
              <w:rPr>
                <w:rtl w:val="0"/>
              </w:rPr>
              <w:t xml:space="preserve">Name of nominator </w:t>
            </w:r>
          </w:p>
        </w:tc>
        <w:tc>
          <w:tcPr/>
          <w:p w:rsidR="00000000" w:rsidDel="00000000" w:rsidP="00000000" w:rsidRDefault="00000000" w:rsidRPr="00000000" w14:paraId="0000001A">
            <w:pPr>
              <w:spacing w:line="360" w:lineRule="auto"/>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line="360" w:lineRule="auto"/>
              <w:rPr/>
            </w:pPr>
            <w:r w:rsidDel="00000000" w:rsidR="00000000" w:rsidRPr="00000000">
              <w:rPr>
                <w:rtl w:val="0"/>
              </w:rPr>
              <w:t xml:space="preserve">Nominator email address</w:t>
            </w:r>
          </w:p>
        </w:tc>
        <w:tc>
          <w:tcPr/>
          <w:p w:rsidR="00000000" w:rsidDel="00000000" w:rsidP="00000000" w:rsidRDefault="00000000" w:rsidRPr="00000000" w14:paraId="0000001C">
            <w:pPr>
              <w:spacing w:line="360" w:lineRule="auto"/>
              <w:rPr>
                <w:b w:val="1"/>
                <w:bCs w:val="1"/>
              </w:rPr>
            </w:pPr>
            <w:r w:rsidDel="00000000" w:rsidR="00000000" w:rsidRPr="00000000">
              <w:rPr>
                <w:rtl w:val="0"/>
              </w:rPr>
            </w:r>
          </w:p>
        </w:tc>
      </w:tr>
    </w:tbl>
    <w:p w:rsidR="00000000" w:rsidDel="00000000" w:rsidP="00000000" w:rsidRDefault="00000000" w:rsidRPr="00000000" w14:paraId="0000001D">
      <w:pPr>
        <w:ind w:left="-567" w:firstLine="0"/>
        <w:rPr>
          <w:b w:val="1"/>
          <w:bCs w:val="1"/>
        </w:rPr>
      </w:pPr>
      <w:r w:rsidDel="00000000" w:rsidR="00000000" w:rsidRPr="00000000">
        <w:rPr>
          <w:rtl w:val="0"/>
        </w:rPr>
      </w:r>
    </w:p>
    <w:p w:rsidR="00000000" w:rsidDel="00000000" w:rsidP="00000000" w:rsidRDefault="00000000" w:rsidRPr="00000000" w14:paraId="0000001E">
      <w:pPr>
        <w:ind w:left="-567" w:firstLine="0"/>
        <w:rPr>
          <w:b w:val="1"/>
          <w:bCs w:val="1"/>
        </w:rPr>
      </w:pPr>
      <w:r w:rsidDel="00000000" w:rsidR="00000000" w:rsidRPr="00000000">
        <w:rPr>
          <w:b w:val="1"/>
          <w:bCs w:val="1"/>
          <w:rtl w:val="0"/>
        </w:rPr>
        <w:t xml:space="preserve">Award checklist</w:t>
      </w:r>
    </w:p>
    <w:p w:rsidR="00000000" w:rsidDel="00000000" w:rsidP="00000000" w:rsidRDefault="00000000" w:rsidRPr="00000000" w14:paraId="0000001F">
      <w:pPr>
        <w:ind w:left="-567" w:firstLine="0"/>
        <w:rPr/>
      </w:pPr>
      <w:r w:rsidDel="00000000" w:rsidR="00000000" w:rsidRPr="00000000">
        <w:rPr>
          <w:rtl w:val="0"/>
        </w:rPr>
        <w:t xml:space="preserve">The following documents should be included:</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this completed cover sheet</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a letter of support from the nominator</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the nominee’s CV</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a one-page summary of the applicant’s most significant contributions to genetics</w:t>
      </w:r>
    </w:p>
    <w:p w:rsidR="00000000" w:rsidDel="00000000" w:rsidP="00000000" w:rsidRDefault="00000000" w:rsidRPr="00000000" w14:paraId="00000024">
      <w:pPr>
        <w:ind w:left="-567" w:firstLine="0"/>
        <w:rPr>
          <w:b w:val="1"/>
          <w:bCs w:val="1"/>
        </w:rPr>
      </w:pPr>
      <w:r w:rsidDel="00000000" w:rsidR="00000000" w:rsidRPr="00000000">
        <w:rPr>
          <w:rtl w:val="0"/>
        </w:rPr>
      </w:r>
    </w:p>
    <w:p w:rsidR="00000000" w:rsidDel="00000000" w:rsidP="00000000" w:rsidRDefault="00000000" w:rsidRPr="00000000" w14:paraId="00000025">
      <w:pPr>
        <w:ind w:left="-567" w:firstLine="0"/>
        <w:rPr>
          <w:b w:val="1"/>
          <w:bCs w:val="1"/>
        </w:rPr>
      </w:pPr>
      <w:r w:rsidDel="00000000" w:rsidR="00000000" w:rsidRPr="00000000">
        <w:rPr>
          <w:b w:val="1"/>
          <w:bCs w:val="1"/>
          <w:rtl w:val="0"/>
        </w:rPr>
        <w:t xml:space="preserve">How to apply</w:t>
      </w:r>
    </w:p>
    <w:p w:rsidR="00000000" w:rsidDel="00000000" w:rsidP="00000000" w:rsidRDefault="00000000" w:rsidRPr="00000000" w14:paraId="00000026">
      <w:pPr>
        <w:ind w:left="-567" w:firstLine="0"/>
        <w:rPr/>
      </w:pPr>
      <w:r w:rsidDel="00000000" w:rsidR="00000000" w:rsidRPr="00000000">
        <w:rPr>
          <w:rtl w:val="0"/>
        </w:rPr>
        <w:t xml:space="preserve">Applications must be submitted by email by midnight (AEST) </w:t>
      </w:r>
      <w:r w:rsidDel="00000000" w:rsidR="00000000" w:rsidRPr="00000000">
        <w:rPr>
          <w:rtl w:val="0"/>
        </w:rPr>
        <w:t xml:space="preserve">28</w:t>
      </w:r>
      <w:r w:rsidDel="00000000" w:rsidR="00000000" w:rsidRPr="00000000">
        <w:rPr>
          <w:vertAlign w:val="superscript"/>
          <w:rtl w:val="0"/>
        </w:rPr>
        <w:t xml:space="preserve">th</w:t>
      </w:r>
      <w:r w:rsidDel="00000000" w:rsidR="00000000" w:rsidRPr="00000000">
        <w:rPr>
          <w:rtl w:val="0"/>
        </w:rPr>
        <w:t xml:space="preserve"> February</w:t>
      </w:r>
      <w:r w:rsidDel="00000000" w:rsidR="00000000" w:rsidRPr="00000000">
        <w:rPr>
          <w:rtl w:val="0"/>
        </w:rPr>
        <w:t xml:space="preserve"> 2026 to </w:t>
      </w:r>
      <w:hyperlink r:id="rId7">
        <w:r w:rsidDel="00000000" w:rsidR="00000000" w:rsidRPr="00000000">
          <w:rPr>
            <w:color w:val="1155cc"/>
            <w:u w:val="single"/>
            <w:rtl w:val="0"/>
          </w:rPr>
          <w:t xml:space="preserve">GSA@asnevents.net.au</w:t>
        </w:r>
      </w:hyperlink>
      <w:r w:rsidDel="00000000" w:rsidR="00000000" w:rsidRPr="00000000">
        <w:rPr>
          <w:rtl w:val="0"/>
        </w:rPr>
        <w:t xml:space="preserve"> with “White Medal” in the subject line.</w:t>
      </w:r>
    </w:p>
    <w:sectPr>
      <w:pgSz w:h="16840" w:w="11900" w:orient="portrait"/>
      <w:pgMar w:bottom="1134" w:top="1134" w:left="1361" w:right="130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53" w:hanging="360"/>
      </w:pPr>
      <w:rPr>
        <w:rFonts w:ascii="Noto Sans Symbols" w:cs="Noto Sans Symbols" w:eastAsia="Noto Sans Symbols" w:hAnsi="Noto Sans Symbols"/>
      </w:rPr>
    </w:lvl>
    <w:lvl w:ilvl="1">
      <w:start w:val="1"/>
      <w:numFmt w:val="bullet"/>
      <w:lvlText w:val="o"/>
      <w:lvlJc w:val="left"/>
      <w:pPr>
        <w:ind w:left="873" w:hanging="360"/>
      </w:pPr>
      <w:rPr>
        <w:rFonts w:ascii="Courier New" w:cs="Courier New" w:eastAsia="Courier New" w:hAnsi="Courier New"/>
      </w:rPr>
    </w:lvl>
    <w:lvl w:ilvl="2">
      <w:start w:val="1"/>
      <w:numFmt w:val="bullet"/>
      <w:lvlText w:val="▪"/>
      <w:lvlJc w:val="left"/>
      <w:pPr>
        <w:ind w:left="1593" w:hanging="360"/>
      </w:pPr>
      <w:rPr>
        <w:rFonts w:ascii="Noto Sans Symbols" w:cs="Noto Sans Symbols" w:eastAsia="Noto Sans Symbols" w:hAnsi="Noto Sans Symbols"/>
      </w:rPr>
    </w:lvl>
    <w:lvl w:ilvl="3">
      <w:start w:val="1"/>
      <w:numFmt w:val="bullet"/>
      <w:lvlText w:val="●"/>
      <w:lvlJc w:val="left"/>
      <w:pPr>
        <w:ind w:left="2313" w:hanging="360"/>
      </w:pPr>
      <w:rPr>
        <w:rFonts w:ascii="Noto Sans Symbols" w:cs="Noto Sans Symbols" w:eastAsia="Noto Sans Symbols" w:hAnsi="Noto Sans Symbols"/>
      </w:rPr>
    </w:lvl>
    <w:lvl w:ilvl="4">
      <w:start w:val="1"/>
      <w:numFmt w:val="bullet"/>
      <w:lvlText w:val="o"/>
      <w:lvlJc w:val="left"/>
      <w:pPr>
        <w:ind w:left="3033" w:hanging="360"/>
      </w:pPr>
      <w:rPr>
        <w:rFonts w:ascii="Courier New" w:cs="Courier New" w:eastAsia="Courier New" w:hAnsi="Courier New"/>
      </w:rPr>
    </w:lvl>
    <w:lvl w:ilvl="5">
      <w:start w:val="1"/>
      <w:numFmt w:val="bullet"/>
      <w:lvlText w:val="▪"/>
      <w:lvlJc w:val="left"/>
      <w:pPr>
        <w:ind w:left="3753" w:hanging="360"/>
      </w:pPr>
      <w:rPr>
        <w:rFonts w:ascii="Noto Sans Symbols" w:cs="Noto Sans Symbols" w:eastAsia="Noto Sans Symbols" w:hAnsi="Noto Sans Symbols"/>
      </w:rPr>
    </w:lvl>
    <w:lvl w:ilvl="6">
      <w:start w:val="1"/>
      <w:numFmt w:val="bullet"/>
      <w:lvlText w:val="●"/>
      <w:lvlJc w:val="left"/>
      <w:pPr>
        <w:ind w:left="4473" w:hanging="360"/>
      </w:pPr>
      <w:rPr>
        <w:rFonts w:ascii="Noto Sans Symbols" w:cs="Noto Sans Symbols" w:eastAsia="Noto Sans Symbols" w:hAnsi="Noto Sans Symbols"/>
      </w:rPr>
    </w:lvl>
    <w:lvl w:ilvl="7">
      <w:start w:val="1"/>
      <w:numFmt w:val="bullet"/>
      <w:lvlText w:val="o"/>
      <w:lvlJc w:val="left"/>
      <w:pPr>
        <w:ind w:left="5193" w:hanging="360"/>
      </w:pPr>
      <w:rPr>
        <w:rFonts w:ascii="Courier New" w:cs="Courier New" w:eastAsia="Courier New" w:hAnsi="Courier New"/>
      </w:rPr>
    </w:lvl>
    <w:lvl w:ilvl="8">
      <w:start w:val="1"/>
      <w:numFmt w:val="bullet"/>
      <w:lvlText w:val="▪"/>
      <w:lvlJc w:val="left"/>
      <w:pPr>
        <w:ind w:left="5913"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BC4F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C4FED"/>
    <w:pPr>
      <w:ind w:left="720"/>
      <w:contextualSpacing w:val="1"/>
    </w:pPr>
  </w:style>
  <w:style w:type="character" w:styleId="Hyperlink">
    <w:name w:val="Hyperlink"/>
    <w:basedOn w:val="DefaultParagraphFont"/>
    <w:uiPriority w:val="99"/>
    <w:unhideWhenUsed w:val="1"/>
    <w:rsid w:val="00D214C6"/>
    <w:rPr>
      <w:color w:val="0563c1" w:themeColor="hyperlink"/>
      <w:u w:val="single"/>
    </w:rPr>
  </w:style>
  <w:style w:type="character" w:styleId="UnresolvedMention">
    <w:name w:val="Unresolved Mention"/>
    <w:basedOn w:val="DefaultParagraphFont"/>
    <w:uiPriority w:val="99"/>
    <w:rsid w:val="00D214C6"/>
    <w:rPr>
      <w:color w:val="605e5c"/>
      <w:shd w:color="auto" w:fill="e1dfdd" w:val="clear"/>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SA@asnevents.net.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AfH6mRBZFsJPp/vU1pXVJAhy6Q==">CgMxLjA4AHIhMTh1c043UlZ6WTMxODhYS0x2RUNIWEM2LXEyV2UzVFFF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2020-01-23T00:42:00Z</dcterms:created>
  <dc:creator>Anna MacDonald</dc:creator>
</cp:coreProperties>
</file>