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567" w:firstLine="0"/>
        <w:jc w:val="center"/>
        <w:rPr>
          <w:b w:val="1"/>
          <w:bCs w:val="1"/>
          <w:color w:val="0070c0"/>
          <w:sz w:val="32"/>
          <w:szCs w:val="32"/>
          <w:u w:val="single"/>
        </w:rPr>
      </w:pPr>
      <w:r w:rsidDel="00000000" w:rsidR="00000000" w:rsidRPr="00000000">
        <w:rPr>
          <w:b w:val="1"/>
          <w:bCs w:val="1"/>
          <w:color w:val="0070c0"/>
          <w:sz w:val="32"/>
          <w:szCs w:val="32"/>
          <w:u w:val="single"/>
          <w:rtl w:val="0"/>
        </w:rPr>
        <w:t xml:space="preserve">Genetics Society of AustralAsia Impact</w:t>
      </w:r>
    </w:p>
    <w:p w:rsidR="00000000" w:rsidDel="00000000" w:rsidP="00000000" w:rsidRDefault="00000000" w:rsidRPr="00000000" w14:paraId="00000002">
      <w:pPr>
        <w:ind w:left="-567" w:firstLine="0"/>
        <w:jc w:val="center"/>
        <w:rPr>
          <w:b w:val="1"/>
          <w:bCs w:val="1"/>
          <w:color w:val="0070c0"/>
          <w:sz w:val="32"/>
          <w:szCs w:val="32"/>
        </w:rPr>
      </w:pPr>
      <w:r w:rsidDel="00000000" w:rsidR="00000000" w:rsidRPr="00000000">
        <w:rPr>
          <w:b w:val="1"/>
          <w:bCs w:val="1"/>
          <w:color w:val="0070c0"/>
          <w:sz w:val="32"/>
          <w:szCs w:val="32"/>
          <w:rtl w:val="0"/>
        </w:rPr>
        <w:t xml:space="preserve">2026 Award Application Cover Sheet</w:t>
      </w:r>
    </w:p>
    <w:p w:rsidR="00000000" w:rsidDel="00000000" w:rsidP="00000000" w:rsidRDefault="00000000" w:rsidRPr="00000000" w14:paraId="00000003">
      <w:pPr>
        <w:ind w:left="-567" w:firstLine="0"/>
        <w:jc w:val="center"/>
        <w:rPr>
          <w:b w:val="1"/>
          <w:bCs w:val="1"/>
        </w:rPr>
      </w:pPr>
      <w:r w:rsidDel="00000000" w:rsidR="00000000" w:rsidRPr="00000000">
        <w:rPr>
          <w:rtl w:val="0"/>
        </w:rPr>
      </w:r>
    </w:p>
    <w:p w:rsidR="00000000" w:rsidDel="00000000" w:rsidP="00000000" w:rsidRDefault="00000000" w:rsidRPr="00000000" w14:paraId="00000004">
      <w:pPr>
        <w:ind w:left="-567" w:firstLine="0"/>
        <w:jc w:val="both"/>
        <w:rPr/>
      </w:pPr>
      <w:r w:rsidDel="00000000" w:rsidR="00000000" w:rsidRPr="00000000">
        <w:rPr>
          <w:rtl w:val="0"/>
        </w:rPr>
        <w:t xml:space="preserve">This award was established in 2026 to recognise excellence in genetics research with applied impact. It is intended to recognise researchers and collaborative teams that show the power of genetic research to address real world problems in one or more fields of transformational relevance. The applied impact may include:</w:t>
      </w:r>
    </w:p>
    <w:p w:rsidR="00000000" w:rsidDel="00000000" w:rsidP="00000000" w:rsidRDefault="00000000" w:rsidRPr="00000000" w14:paraId="00000005">
      <w:pPr>
        <w:numPr>
          <w:ilvl w:val="0"/>
          <w:numId w:val="1"/>
        </w:numPr>
        <w:ind w:left="720" w:hanging="360"/>
        <w:jc w:val="both"/>
        <w:rPr>
          <w:u w:val="none"/>
        </w:rPr>
      </w:pPr>
      <w:r w:rsidDel="00000000" w:rsidR="00000000" w:rsidRPr="00000000">
        <w:rPr>
          <w:rtl w:val="0"/>
        </w:rPr>
        <w:t xml:space="preserve">new policy or guidelines being adopted,</w:t>
      </w:r>
    </w:p>
    <w:p w:rsidR="00000000" w:rsidDel="00000000" w:rsidP="00000000" w:rsidRDefault="00000000" w:rsidRPr="00000000" w14:paraId="00000006">
      <w:pPr>
        <w:numPr>
          <w:ilvl w:val="0"/>
          <w:numId w:val="1"/>
        </w:numPr>
        <w:ind w:left="720" w:hanging="360"/>
        <w:jc w:val="both"/>
        <w:rPr>
          <w:u w:val="none"/>
        </w:rPr>
      </w:pPr>
      <w:r w:rsidDel="00000000" w:rsidR="00000000" w:rsidRPr="00000000">
        <w:rPr>
          <w:rtl w:val="0"/>
        </w:rPr>
        <w:t xml:space="preserve">changes in clinical practice, diagnostic workflows, or positive health outcomes,</w:t>
      </w:r>
    </w:p>
    <w:p w:rsidR="00000000" w:rsidDel="00000000" w:rsidP="00000000" w:rsidRDefault="00000000" w:rsidRPr="00000000" w14:paraId="00000007">
      <w:pPr>
        <w:numPr>
          <w:ilvl w:val="0"/>
          <w:numId w:val="1"/>
        </w:numPr>
        <w:ind w:left="720" w:hanging="360"/>
        <w:jc w:val="both"/>
        <w:rPr>
          <w:u w:val="none"/>
        </w:rPr>
      </w:pPr>
      <w:r w:rsidDel="00000000" w:rsidR="00000000" w:rsidRPr="00000000">
        <w:rPr>
          <w:rtl w:val="0"/>
        </w:rPr>
        <w:t xml:space="preserve">implementation in breeding / management programs,</w:t>
      </w:r>
    </w:p>
    <w:p w:rsidR="00000000" w:rsidDel="00000000" w:rsidP="00000000" w:rsidRDefault="00000000" w:rsidRPr="00000000" w14:paraId="00000008">
      <w:pPr>
        <w:numPr>
          <w:ilvl w:val="0"/>
          <w:numId w:val="1"/>
        </w:numPr>
        <w:ind w:left="720" w:hanging="360"/>
        <w:jc w:val="both"/>
        <w:rPr>
          <w:u w:val="none"/>
        </w:rPr>
      </w:pPr>
      <w:r w:rsidDel="00000000" w:rsidR="00000000" w:rsidRPr="00000000">
        <w:rPr>
          <w:rtl w:val="0"/>
        </w:rPr>
        <w:t xml:space="preserve">validated decision-support tools or software in real-world use,</w:t>
      </w:r>
    </w:p>
    <w:p w:rsidR="00000000" w:rsidDel="00000000" w:rsidP="00000000" w:rsidRDefault="00000000" w:rsidRPr="00000000" w14:paraId="00000009">
      <w:pPr>
        <w:numPr>
          <w:ilvl w:val="0"/>
          <w:numId w:val="1"/>
        </w:numPr>
        <w:ind w:left="720" w:hanging="360"/>
        <w:jc w:val="both"/>
        <w:rPr>
          <w:u w:val="none"/>
        </w:rPr>
      </w:pPr>
      <w:r w:rsidDel="00000000" w:rsidR="00000000" w:rsidRPr="00000000">
        <w:rPr>
          <w:rtl w:val="0"/>
        </w:rPr>
        <w:t xml:space="preserve">measurable conservation or ecological outcomes,</w:t>
      </w:r>
    </w:p>
    <w:p w:rsidR="00000000" w:rsidDel="00000000" w:rsidP="00000000" w:rsidRDefault="00000000" w:rsidRPr="00000000" w14:paraId="0000000A">
      <w:pPr>
        <w:numPr>
          <w:ilvl w:val="0"/>
          <w:numId w:val="1"/>
        </w:numPr>
        <w:ind w:left="720" w:hanging="360"/>
        <w:jc w:val="both"/>
        <w:rPr>
          <w:u w:val="none"/>
        </w:rPr>
      </w:pPr>
      <w:r w:rsidDel="00000000" w:rsidR="00000000" w:rsidRPr="00000000">
        <w:rPr>
          <w:rtl w:val="0"/>
        </w:rPr>
        <w:t xml:space="preserve">cost savings or efficiency gains,</w:t>
      </w:r>
    </w:p>
    <w:p w:rsidR="00000000" w:rsidDel="00000000" w:rsidP="00000000" w:rsidRDefault="00000000" w:rsidRPr="00000000" w14:paraId="0000000B">
      <w:pPr>
        <w:numPr>
          <w:ilvl w:val="0"/>
          <w:numId w:val="1"/>
        </w:numPr>
        <w:ind w:left="720" w:hanging="360"/>
        <w:jc w:val="both"/>
        <w:rPr>
          <w:u w:val="none"/>
        </w:rPr>
      </w:pPr>
      <w:r w:rsidDel="00000000" w:rsidR="00000000" w:rsidRPr="00000000">
        <w:rPr>
          <w:rtl w:val="0"/>
        </w:rPr>
        <w:t xml:space="preserve">capacity building for key communities or sectors.</w:t>
      </w:r>
    </w:p>
    <w:p w:rsidR="00000000" w:rsidDel="00000000" w:rsidP="00000000" w:rsidRDefault="00000000" w:rsidRPr="00000000" w14:paraId="0000000C">
      <w:pPr>
        <w:ind w:left="-567" w:firstLine="0"/>
        <w:jc w:val="both"/>
        <w:rPr/>
      </w:pPr>
      <w:r w:rsidDel="00000000" w:rsidR="00000000" w:rsidRPr="00000000">
        <w:rPr>
          <w:rtl w:val="0"/>
        </w:rPr>
      </w:r>
    </w:p>
    <w:p w:rsidR="00000000" w:rsidDel="00000000" w:rsidP="00000000" w:rsidRDefault="00000000" w:rsidRPr="00000000" w14:paraId="0000000D">
      <w:pPr>
        <w:ind w:left="-567" w:firstLine="0"/>
        <w:jc w:val="both"/>
        <w:rPr/>
      </w:pPr>
      <w:r w:rsidDel="00000000" w:rsidR="00000000" w:rsidRPr="00000000">
        <w:rPr>
          <w:rtl w:val="0"/>
        </w:rPr>
        <w:t xml:space="preserve">Nominations may be made for individual researchers (at any career stage) or for collaborative teams that include genetics researchers and practitioners or end users. Self-nominations and nominations on behalf of others are both permitted and will be considered equally.</w:t>
      </w:r>
    </w:p>
    <w:p w:rsidR="00000000" w:rsidDel="00000000" w:rsidP="00000000" w:rsidRDefault="00000000" w:rsidRPr="00000000" w14:paraId="0000000E">
      <w:pPr>
        <w:ind w:left="-567" w:firstLine="0"/>
        <w:jc w:val="both"/>
        <w:rPr/>
      </w:pPr>
      <w:r w:rsidDel="00000000" w:rsidR="00000000" w:rsidRPr="00000000">
        <w:rPr>
          <w:rtl w:val="0"/>
        </w:rPr>
      </w:r>
    </w:p>
    <w:p w:rsidR="00000000" w:rsidDel="00000000" w:rsidP="00000000" w:rsidRDefault="00000000" w:rsidRPr="00000000" w14:paraId="0000000F">
      <w:pPr>
        <w:ind w:left="-567" w:firstLine="0"/>
        <w:jc w:val="both"/>
        <w:rPr/>
      </w:pPr>
      <w:r w:rsidDel="00000000" w:rsidR="00000000" w:rsidRPr="00000000">
        <w:rPr>
          <w:rtl w:val="0"/>
        </w:rPr>
        <w:t xml:space="preserve">The award is normally made to one scientist at the Genetics Society of AustralAsia’s annual meeting and is accepted by delivering an invited talk at the meeting. </w:t>
      </w:r>
    </w:p>
    <w:p w:rsidR="00000000" w:rsidDel="00000000" w:rsidP="00000000" w:rsidRDefault="00000000" w:rsidRPr="00000000" w14:paraId="00000010">
      <w:pPr>
        <w:ind w:left="-567" w:firstLine="0"/>
        <w:jc w:val="both"/>
        <w:rPr/>
      </w:pPr>
      <w:r w:rsidDel="00000000" w:rsidR="00000000" w:rsidRPr="00000000">
        <w:rPr>
          <w:rtl w:val="0"/>
        </w:rPr>
      </w:r>
    </w:p>
    <w:p w:rsidR="00000000" w:rsidDel="00000000" w:rsidP="00000000" w:rsidRDefault="00000000" w:rsidRPr="00000000" w14:paraId="00000011">
      <w:pPr>
        <w:ind w:left="-567" w:firstLine="0"/>
        <w:jc w:val="both"/>
        <w:rPr/>
      </w:pPr>
      <w:r w:rsidDel="00000000" w:rsidR="00000000" w:rsidRPr="00000000">
        <w:rPr>
          <w:rtl w:val="0"/>
        </w:rPr>
        <w:t xml:space="preserve">The award consists of:</w:t>
      </w:r>
    </w:p>
    <w:p w:rsidR="00000000" w:rsidDel="00000000" w:rsidP="00000000" w:rsidRDefault="00000000" w:rsidRPr="00000000" w14:paraId="00000012">
      <w:pPr>
        <w:numPr>
          <w:ilvl w:val="0"/>
          <w:numId w:val="3"/>
        </w:numPr>
        <w:pBdr>
          <w:top w:space="0" w:sz="0" w:val="nil"/>
          <w:left w:space="0" w:sz="0" w:val="nil"/>
          <w:bottom w:space="0" w:sz="0" w:val="nil"/>
          <w:right w:space="0" w:sz="0" w:val="nil"/>
          <w:between w:space="0" w:sz="0" w:val="nil"/>
        </w:pBdr>
        <w:ind w:left="153" w:hanging="360"/>
        <w:jc w:val="both"/>
        <w:rPr/>
      </w:pPr>
      <w:r w:rsidDel="00000000" w:rsidR="00000000" w:rsidRPr="00000000">
        <w:rPr>
          <w:rtl w:val="0"/>
        </w:rPr>
        <w:t xml:space="preserve">a certificate</w:t>
      </w:r>
      <w:r w:rsidDel="00000000" w:rsidR="00000000" w:rsidRPr="00000000">
        <w:rPr>
          <w:rtl w:val="0"/>
        </w:rPr>
      </w:r>
    </w:p>
    <w:p w:rsidR="00000000" w:rsidDel="00000000" w:rsidP="00000000" w:rsidRDefault="00000000" w:rsidRPr="00000000" w14:paraId="00000013">
      <w:pPr>
        <w:numPr>
          <w:ilvl w:val="0"/>
          <w:numId w:val="3"/>
        </w:numPr>
        <w:pBdr>
          <w:top w:space="0" w:sz="0" w:val="nil"/>
          <w:left w:space="0" w:sz="0" w:val="nil"/>
          <w:bottom w:space="0" w:sz="0" w:val="nil"/>
          <w:right w:space="0" w:sz="0" w:val="nil"/>
          <w:between w:space="0" w:sz="0" w:val="nil"/>
        </w:pBdr>
        <w:ind w:left="153" w:hanging="360"/>
        <w:jc w:val="both"/>
        <w:rPr/>
      </w:pPr>
      <w:r w:rsidDel="00000000" w:rsidR="00000000" w:rsidRPr="00000000">
        <w:rPr>
          <w:color w:val="000000"/>
          <w:rtl w:val="0"/>
        </w:rPr>
        <w:t xml:space="preserve">the opportunity to present </w:t>
      </w:r>
      <w:r w:rsidDel="00000000" w:rsidR="00000000" w:rsidRPr="00000000">
        <w:rPr>
          <w:rtl w:val="0"/>
        </w:rPr>
        <w:t xml:space="preserve">an invited talk</w:t>
      </w:r>
      <w:r w:rsidDel="00000000" w:rsidR="00000000" w:rsidRPr="00000000">
        <w:rPr>
          <w:color w:val="000000"/>
          <w:rtl w:val="0"/>
        </w:rPr>
        <w:t xml:space="preserve"> at the conference </w:t>
      </w:r>
      <w:r w:rsidDel="00000000" w:rsidR="00000000" w:rsidRPr="00000000">
        <w:rPr>
          <w:rtl w:val="0"/>
        </w:rPr>
      </w:r>
    </w:p>
    <w:p w:rsidR="00000000" w:rsidDel="00000000" w:rsidP="00000000" w:rsidRDefault="00000000" w:rsidRPr="00000000" w14:paraId="00000014">
      <w:pPr>
        <w:numPr>
          <w:ilvl w:val="0"/>
          <w:numId w:val="3"/>
        </w:numPr>
        <w:pBdr>
          <w:top w:space="0" w:sz="0" w:val="nil"/>
          <w:left w:space="0" w:sz="0" w:val="nil"/>
          <w:bottom w:space="0" w:sz="0" w:val="nil"/>
          <w:right w:space="0" w:sz="0" w:val="nil"/>
          <w:between w:space="0" w:sz="0" w:val="nil"/>
        </w:pBdr>
        <w:ind w:left="153" w:hanging="360"/>
        <w:jc w:val="both"/>
        <w:rPr/>
      </w:pPr>
      <w:r w:rsidDel="00000000" w:rsidR="00000000" w:rsidRPr="00000000">
        <w:rPr>
          <w:rtl w:val="0"/>
        </w:rPr>
        <w:t xml:space="preserve">registration fees for one person (for an individual application) or two people (for a team application: these should include one researcher and one practitioner or end user) to attend the conference, including dinner ticket(s) (</w:t>
      </w:r>
      <w:r w:rsidDel="00000000" w:rsidR="00000000" w:rsidRPr="00000000">
        <w:rPr>
          <w:b w:val="1"/>
          <w:bCs w:val="1"/>
          <w:rtl w:val="0"/>
        </w:rPr>
        <w:t xml:space="preserve">Important note: </w:t>
      </w:r>
      <w:r w:rsidDel="00000000" w:rsidR="00000000" w:rsidRPr="00000000">
        <w:rPr>
          <w:rtl w:val="0"/>
        </w:rPr>
        <w:t xml:space="preserve">all applicants should not register to the conference before their application outcome is known. Unsuccessful applicants will have guaranteed access to early bird registration fees)</w:t>
      </w:r>
    </w:p>
    <w:p w:rsidR="00000000" w:rsidDel="00000000" w:rsidP="00000000" w:rsidRDefault="00000000" w:rsidRPr="00000000" w14:paraId="00000015">
      <w:pPr>
        <w:numPr>
          <w:ilvl w:val="0"/>
          <w:numId w:val="3"/>
        </w:numPr>
        <w:pBdr>
          <w:top w:space="0" w:sz="0" w:val="nil"/>
          <w:left w:space="0" w:sz="0" w:val="nil"/>
          <w:bottom w:space="0" w:sz="0" w:val="nil"/>
          <w:right w:space="0" w:sz="0" w:val="nil"/>
          <w:between w:space="0" w:sz="0" w:val="nil"/>
        </w:pBdr>
        <w:ind w:left="153" w:hanging="360"/>
        <w:jc w:val="both"/>
        <w:rPr/>
      </w:pPr>
      <w:r w:rsidDel="00000000" w:rsidR="00000000" w:rsidRPr="00000000">
        <w:rPr>
          <w:rtl w:val="0"/>
        </w:rPr>
        <w:t xml:space="preserve">one year membership of GSA for one person (for an individual application) or two people (for a team application: one researcher and one practitioner or end user)</w:t>
      </w:r>
      <w:r w:rsidDel="00000000" w:rsidR="00000000" w:rsidRPr="00000000">
        <w:rPr>
          <w:rtl w:val="0"/>
        </w:rPr>
      </w:r>
    </w:p>
    <w:p w:rsidR="00000000" w:rsidDel="00000000" w:rsidP="00000000" w:rsidRDefault="00000000" w:rsidRPr="00000000" w14:paraId="00000016">
      <w:pPr>
        <w:ind w:left="-567" w:firstLine="0"/>
        <w:rPr>
          <w:b w:val="1"/>
          <w:bCs w:val="1"/>
        </w:rPr>
      </w:pPr>
      <w:r w:rsidDel="00000000" w:rsidR="00000000" w:rsidRPr="00000000">
        <w:rPr>
          <w:rtl w:val="0"/>
        </w:rPr>
      </w:r>
    </w:p>
    <w:p w:rsidR="00000000" w:rsidDel="00000000" w:rsidP="00000000" w:rsidRDefault="00000000" w:rsidRPr="00000000" w14:paraId="00000017">
      <w:pPr>
        <w:ind w:left="-567" w:firstLine="0"/>
        <w:rPr>
          <w:b w:val="1"/>
          <w:bCs w:val="1"/>
        </w:rPr>
      </w:pPr>
      <w:r w:rsidDel="00000000" w:rsidR="00000000" w:rsidRPr="00000000">
        <w:rPr>
          <w:b w:val="1"/>
          <w:bCs w:val="1"/>
          <w:color w:val="0070c0"/>
          <w:sz w:val="28"/>
          <w:szCs w:val="28"/>
          <w:u w:val="single"/>
          <w:rtl w:val="0"/>
        </w:rPr>
        <w:t xml:space="preserve">Application information - Impact Award 2026</w:t>
      </w:r>
      <w:r w:rsidDel="00000000" w:rsidR="00000000" w:rsidRPr="00000000">
        <w:rPr>
          <w:rtl w:val="0"/>
        </w:rPr>
      </w:r>
    </w:p>
    <w:p w:rsidR="00000000" w:rsidDel="00000000" w:rsidP="00000000" w:rsidRDefault="00000000" w:rsidRPr="00000000" w14:paraId="00000018">
      <w:pPr>
        <w:ind w:left="-567" w:firstLine="0"/>
        <w:rPr/>
      </w:pPr>
      <w:r w:rsidDel="00000000" w:rsidR="00000000" w:rsidRPr="00000000">
        <w:rPr>
          <w:rtl w:val="0"/>
        </w:rPr>
        <w:t xml:space="preserve">Please provide the details of the person nominated for the GSA Impact Award here:</w:t>
      </w:r>
    </w:p>
    <w:p w:rsidR="00000000" w:rsidDel="00000000" w:rsidP="00000000" w:rsidRDefault="00000000" w:rsidRPr="00000000" w14:paraId="00000019">
      <w:pPr>
        <w:ind w:left="-567" w:firstLine="0"/>
        <w:rPr>
          <w:b w:val="1"/>
          <w:bCs w:val="1"/>
        </w:rPr>
      </w:pPr>
      <w:r w:rsidDel="00000000" w:rsidR="00000000" w:rsidRPr="00000000">
        <w:rPr>
          <w:rtl w:val="0"/>
        </w:rPr>
      </w:r>
    </w:p>
    <w:tbl>
      <w:tblPr>
        <w:tblStyle w:val="Table1"/>
        <w:tblW w:w="9010.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5471"/>
        <w:tblGridChange w:id="0">
          <w:tblGrid>
            <w:gridCol w:w="3539"/>
            <w:gridCol w:w="5471"/>
          </w:tblGrid>
        </w:tblGridChange>
      </w:tblGrid>
      <w:tr>
        <w:trPr>
          <w:cantSplit w:val="0"/>
          <w:tblHeader w:val="0"/>
        </w:trPr>
        <w:tc>
          <w:tcPr/>
          <w:p w:rsidR="00000000" w:rsidDel="00000000" w:rsidP="00000000" w:rsidRDefault="00000000" w:rsidRPr="00000000" w14:paraId="0000001A">
            <w:pPr>
              <w:spacing w:line="360" w:lineRule="auto"/>
              <w:rPr/>
            </w:pPr>
            <w:r w:rsidDel="00000000" w:rsidR="00000000" w:rsidRPr="00000000">
              <w:rPr>
                <w:rtl w:val="0"/>
              </w:rPr>
              <w:t xml:space="preserve">Name of applicant/s</w:t>
            </w:r>
          </w:p>
        </w:tc>
        <w:tc>
          <w:tcPr/>
          <w:p w:rsidR="00000000" w:rsidDel="00000000" w:rsidP="00000000" w:rsidRDefault="00000000" w:rsidRPr="00000000" w14:paraId="0000001B">
            <w:pPr>
              <w:spacing w:line="360" w:lineRule="auto"/>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1C">
            <w:pPr>
              <w:spacing w:line="360" w:lineRule="auto"/>
              <w:rPr/>
            </w:pPr>
            <w:r w:rsidDel="00000000" w:rsidR="00000000" w:rsidRPr="00000000">
              <w:rPr>
                <w:rtl w:val="0"/>
              </w:rPr>
              <w:t xml:space="preserve">Applicant/s email address/es</w:t>
            </w:r>
          </w:p>
        </w:tc>
        <w:tc>
          <w:tcPr/>
          <w:p w:rsidR="00000000" w:rsidDel="00000000" w:rsidP="00000000" w:rsidRDefault="00000000" w:rsidRPr="00000000" w14:paraId="0000001D">
            <w:pPr>
              <w:spacing w:line="360" w:lineRule="auto"/>
              <w:rPr>
                <w:b w:val="1"/>
                <w:bCs w:val="1"/>
              </w:rPr>
            </w:pPr>
            <w:r w:rsidDel="00000000" w:rsidR="00000000" w:rsidRPr="00000000">
              <w:rPr>
                <w:rtl w:val="0"/>
              </w:rPr>
            </w:r>
          </w:p>
        </w:tc>
      </w:tr>
    </w:tbl>
    <w:p w:rsidR="00000000" w:rsidDel="00000000" w:rsidP="00000000" w:rsidRDefault="00000000" w:rsidRPr="00000000" w14:paraId="0000001E">
      <w:pPr>
        <w:ind w:left="-567" w:firstLine="0"/>
        <w:rPr>
          <w:b w:val="1"/>
          <w:bCs w:val="1"/>
        </w:rPr>
      </w:pPr>
      <w:r w:rsidDel="00000000" w:rsidR="00000000" w:rsidRPr="00000000">
        <w:rPr>
          <w:rtl w:val="0"/>
        </w:rPr>
      </w:r>
    </w:p>
    <w:p w:rsidR="00000000" w:rsidDel="00000000" w:rsidP="00000000" w:rsidRDefault="00000000" w:rsidRPr="00000000" w14:paraId="0000001F">
      <w:pPr>
        <w:ind w:left="-567" w:firstLine="0"/>
        <w:rPr>
          <w:b w:val="1"/>
          <w:bCs w:val="1"/>
        </w:rPr>
      </w:pPr>
      <w:r w:rsidDel="00000000" w:rsidR="00000000" w:rsidRPr="00000000">
        <w:rPr>
          <w:b w:val="1"/>
          <w:bCs w:val="1"/>
          <w:rtl w:val="0"/>
        </w:rPr>
        <w:t xml:space="preserve">Award checklist</w:t>
      </w:r>
    </w:p>
    <w:p w:rsidR="00000000" w:rsidDel="00000000" w:rsidP="00000000" w:rsidRDefault="00000000" w:rsidRPr="00000000" w14:paraId="00000020">
      <w:pPr>
        <w:ind w:left="-567" w:firstLine="0"/>
        <w:rPr/>
      </w:pPr>
      <w:r w:rsidDel="00000000" w:rsidR="00000000" w:rsidRPr="00000000">
        <w:rPr>
          <w:rtl w:val="0"/>
        </w:rPr>
        <w:t xml:space="preserve">The following documents should be included:</w:t>
      </w:r>
    </w:p>
    <w:p w:rsidR="00000000" w:rsidDel="00000000" w:rsidP="00000000" w:rsidRDefault="00000000" w:rsidRPr="00000000" w14:paraId="00000021">
      <w:pPr>
        <w:numPr>
          <w:ilvl w:val="0"/>
          <w:numId w:val="2"/>
        </w:numPr>
        <w:ind w:left="720" w:hanging="360"/>
        <w:rPr/>
      </w:pPr>
      <w:r w:rsidDel="00000000" w:rsidR="00000000" w:rsidRPr="00000000">
        <w:rPr>
          <w:rtl w:val="0"/>
        </w:rPr>
        <w:t xml:space="preserve">this completed cover sheet</w:t>
      </w:r>
    </w:p>
    <w:p w:rsidR="00000000" w:rsidDel="00000000" w:rsidP="00000000" w:rsidRDefault="00000000" w:rsidRPr="00000000" w14:paraId="00000022">
      <w:pPr>
        <w:numPr>
          <w:ilvl w:val="0"/>
          <w:numId w:val="2"/>
        </w:numPr>
        <w:ind w:left="720" w:hanging="360"/>
        <w:rPr/>
      </w:pPr>
      <w:r w:rsidDel="00000000" w:rsidR="00000000" w:rsidRPr="00000000">
        <w:rPr>
          <w:rtl w:val="0"/>
        </w:rPr>
        <w:t xml:space="preserve">the applicant’s CV (or a CV for each member of the team; up to two pages per CV)</w:t>
      </w:r>
    </w:p>
    <w:p w:rsidR="00000000" w:rsidDel="00000000" w:rsidP="00000000" w:rsidRDefault="00000000" w:rsidRPr="00000000" w14:paraId="00000023">
      <w:pPr>
        <w:numPr>
          <w:ilvl w:val="0"/>
          <w:numId w:val="2"/>
        </w:numPr>
        <w:ind w:left="720" w:hanging="360"/>
        <w:rPr/>
      </w:pPr>
      <w:r w:rsidDel="00000000" w:rsidR="00000000" w:rsidRPr="00000000">
        <w:rPr>
          <w:rtl w:val="0"/>
        </w:rPr>
        <w:t xml:space="preserve">a one page summary of the work and its applied impact:</w:t>
      </w:r>
    </w:p>
    <w:p w:rsidR="00000000" w:rsidDel="00000000" w:rsidP="00000000" w:rsidRDefault="00000000" w:rsidRPr="00000000" w14:paraId="00000024">
      <w:pPr>
        <w:numPr>
          <w:ilvl w:val="1"/>
          <w:numId w:val="2"/>
        </w:numPr>
        <w:ind w:left="1440" w:hanging="360"/>
        <w:rPr/>
      </w:pPr>
      <w:r w:rsidDel="00000000" w:rsidR="00000000" w:rsidRPr="00000000">
        <w:rPr>
          <w:rtl w:val="0"/>
        </w:rPr>
        <w:t xml:space="preserve">explain how the work demonstrates effective application of genetic research to a defined question relevant to management, policy, health outcomes, economic sustainability or other stakeholder or end user needs</w:t>
      </w:r>
    </w:p>
    <w:p w:rsidR="00000000" w:rsidDel="00000000" w:rsidP="00000000" w:rsidRDefault="00000000" w:rsidRPr="00000000" w14:paraId="00000025">
      <w:pPr>
        <w:numPr>
          <w:ilvl w:val="1"/>
          <w:numId w:val="2"/>
        </w:numPr>
        <w:ind w:left="1440" w:hanging="360"/>
        <w:rPr/>
      </w:pPr>
      <w:r w:rsidDel="00000000" w:rsidR="00000000" w:rsidRPr="00000000">
        <w:rPr>
          <w:rtl w:val="0"/>
        </w:rPr>
        <w:t xml:space="preserve">summarise the measurable outcomes or impacts of the nominated work</w:t>
      </w:r>
    </w:p>
    <w:p w:rsidR="00000000" w:rsidDel="00000000" w:rsidP="00000000" w:rsidRDefault="00000000" w:rsidRPr="00000000" w14:paraId="00000026">
      <w:pPr>
        <w:numPr>
          <w:ilvl w:val="1"/>
          <w:numId w:val="2"/>
        </w:numPr>
        <w:ind w:left="1440" w:hanging="360"/>
        <w:rPr/>
      </w:pPr>
      <w:r w:rsidDel="00000000" w:rsidR="00000000" w:rsidRPr="00000000">
        <w:rPr>
          <w:rtl w:val="0"/>
        </w:rPr>
        <w:t xml:space="preserve"> outline how outcomes of this work have been or will be shared with stakeholders or end users and, if relevant, the public</w:t>
      </w:r>
    </w:p>
    <w:p w:rsidR="00000000" w:rsidDel="00000000" w:rsidP="00000000" w:rsidRDefault="00000000" w:rsidRPr="00000000" w14:paraId="00000027">
      <w:pPr>
        <w:numPr>
          <w:ilvl w:val="0"/>
          <w:numId w:val="2"/>
        </w:numPr>
        <w:ind w:left="720" w:hanging="360"/>
        <w:rPr>
          <w:u w:val="none"/>
        </w:rPr>
      </w:pPr>
      <w:r w:rsidDel="00000000" w:rsidR="00000000" w:rsidRPr="00000000">
        <w:rPr>
          <w:rtl w:val="0"/>
        </w:rPr>
        <w:t xml:space="preserve">applications may also choose to include a letter of support from a relevant stakeholder or end user that outlines the significance of the applied work and its impact (maximum one page)</w:t>
      </w:r>
    </w:p>
    <w:p w:rsidR="00000000" w:rsidDel="00000000" w:rsidP="00000000" w:rsidRDefault="00000000" w:rsidRPr="00000000" w14:paraId="00000028">
      <w:pPr>
        <w:ind w:left="-567" w:firstLine="0"/>
        <w:rPr>
          <w:b w:val="1"/>
          <w:bCs w:val="1"/>
        </w:rPr>
      </w:pPr>
      <w:r w:rsidDel="00000000" w:rsidR="00000000" w:rsidRPr="00000000">
        <w:rPr>
          <w:rtl w:val="0"/>
        </w:rPr>
      </w:r>
    </w:p>
    <w:p w:rsidR="00000000" w:rsidDel="00000000" w:rsidP="00000000" w:rsidRDefault="00000000" w:rsidRPr="00000000" w14:paraId="00000029">
      <w:pPr>
        <w:ind w:left="-567" w:firstLine="0"/>
        <w:rPr>
          <w:b w:val="1"/>
          <w:bCs w:val="1"/>
        </w:rPr>
      </w:pPr>
      <w:r w:rsidDel="00000000" w:rsidR="00000000" w:rsidRPr="00000000">
        <w:rPr>
          <w:b w:val="1"/>
          <w:bCs w:val="1"/>
          <w:rtl w:val="0"/>
        </w:rPr>
        <w:t xml:space="preserve">How to apply</w:t>
      </w:r>
    </w:p>
    <w:p w:rsidR="00000000" w:rsidDel="00000000" w:rsidP="00000000" w:rsidRDefault="00000000" w:rsidRPr="00000000" w14:paraId="0000002A">
      <w:pPr>
        <w:ind w:left="-567" w:firstLine="0"/>
        <w:rPr/>
      </w:pPr>
      <w:r w:rsidDel="00000000" w:rsidR="00000000" w:rsidRPr="00000000">
        <w:rPr>
          <w:rtl w:val="0"/>
        </w:rPr>
        <w:t xml:space="preserve">Applications must be submitted by email by midnight (AEST) </w:t>
      </w:r>
      <w:r w:rsidDel="00000000" w:rsidR="00000000" w:rsidRPr="00000000">
        <w:rPr>
          <w:rtl w:val="0"/>
        </w:rPr>
        <w:t xml:space="preserve">28</w:t>
      </w:r>
      <w:r w:rsidDel="00000000" w:rsidR="00000000" w:rsidRPr="00000000">
        <w:rPr>
          <w:vertAlign w:val="superscript"/>
          <w:rtl w:val="0"/>
        </w:rPr>
        <w:t xml:space="preserve">th</w:t>
      </w:r>
      <w:r w:rsidDel="00000000" w:rsidR="00000000" w:rsidRPr="00000000">
        <w:rPr>
          <w:rtl w:val="0"/>
        </w:rPr>
        <w:t xml:space="preserve"> February 2026 to </w:t>
      </w:r>
      <w:hyperlink r:id="rId7">
        <w:r w:rsidDel="00000000" w:rsidR="00000000" w:rsidRPr="00000000">
          <w:rPr>
            <w:color w:val="1155cc"/>
            <w:u w:val="single"/>
            <w:rtl w:val="0"/>
          </w:rPr>
          <w:t xml:space="preserve">GSA@asnevents.net.au</w:t>
        </w:r>
      </w:hyperlink>
      <w:r w:rsidDel="00000000" w:rsidR="00000000" w:rsidRPr="00000000">
        <w:rPr>
          <w:rtl w:val="0"/>
        </w:rPr>
        <w:t xml:space="preserve"> with “Impact Award” in the subject line.</w:t>
      </w:r>
    </w:p>
    <w:sectPr>
      <w:pgSz w:h="16840" w:w="11900" w:orient="portrait"/>
      <w:pgMar w:bottom="1134" w:top="1134" w:left="1361" w:right="130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53" w:hanging="360"/>
      </w:pPr>
      <w:rPr>
        <w:rFonts w:ascii="Noto Sans Symbols" w:cs="Noto Sans Symbols" w:eastAsia="Noto Sans Symbols" w:hAnsi="Noto Sans Symbols"/>
      </w:rPr>
    </w:lvl>
    <w:lvl w:ilvl="1">
      <w:start w:val="1"/>
      <w:numFmt w:val="bullet"/>
      <w:lvlText w:val="o"/>
      <w:lvlJc w:val="left"/>
      <w:pPr>
        <w:ind w:left="873" w:hanging="360"/>
      </w:pPr>
      <w:rPr>
        <w:rFonts w:ascii="Courier New" w:cs="Courier New" w:eastAsia="Courier New" w:hAnsi="Courier New"/>
      </w:rPr>
    </w:lvl>
    <w:lvl w:ilvl="2">
      <w:start w:val="1"/>
      <w:numFmt w:val="bullet"/>
      <w:lvlText w:val="▪"/>
      <w:lvlJc w:val="left"/>
      <w:pPr>
        <w:ind w:left="1593" w:hanging="360"/>
      </w:pPr>
      <w:rPr>
        <w:rFonts w:ascii="Noto Sans Symbols" w:cs="Noto Sans Symbols" w:eastAsia="Noto Sans Symbols" w:hAnsi="Noto Sans Symbols"/>
      </w:rPr>
    </w:lvl>
    <w:lvl w:ilvl="3">
      <w:start w:val="1"/>
      <w:numFmt w:val="bullet"/>
      <w:lvlText w:val="●"/>
      <w:lvlJc w:val="left"/>
      <w:pPr>
        <w:ind w:left="2313" w:hanging="360"/>
      </w:pPr>
      <w:rPr>
        <w:rFonts w:ascii="Noto Sans Symbols" w:cs="Noto Sans Symbols" w:eastAsia="Noto Sans Symbols" w:hAnsi="Noto Sans Symbols"/>
      </w:rPr>
    </w:lvl>
    <w:lvl w:ilvl="4">
      <w:start w:val="1"/>
      <w:numFmt w:val="bullet"/>
      <w:lvlText w:val="o"/>
      <w:lvlJc w:val="left"/>
      <w:pPr>
        <w:ind w:left="3033" w:hanging="360"/>
      </w:pPr>
      <w:rPr>
        <w:rFonts w:ascii="Courier New" w:cs="Courier New" w:eastAsia="Courier New" w:hAnsi="Courier New"/>
      </w:rPr>
    </w:lvl>
    <w:lvl w:ilvl="5">
      <w:start w:val="1"/>
      <w:numFmt w:val="bullet"/>
      <w:lvlText w:val="▪"/>
      <w:lvlJc w:val="left"/>
      <w:pPr>
        <w:ind w:left="3753" w:hanging="360"/>
      </w:pPr>
      <w:rPr>
        <w:rFonts w:ascii="Noto Sans Symbols" w:cs="Noto Sans Symbols" w:eastAsia="Noto Sans Symbols" w:hAnsi="Noto Sans Symbols"/>
      </w:rPr>
    </w:lvl>
    <w:lvl w:ilvl="6">
      <w:start w:val="1"/>
      <w:numFmt w:val="bullet"/>
      <w:lvlText w:val="●"/>
      <w:lvlJc w:val="left"/>
      <w:pPr>
        <w:ind w:left="4473" w:hanging="360"/>
      </w:pPr>
      <w:rPr>
        <w:rFonts w:ascii="Noto Sans Symbols" w:cs="Noto Sans Symbols" w:eastAsia="Noto Sans Symbols" w:hAnsi="Noto Sans Symbols"/>
      </w:rPr>
    </w:lvl>
    <w:lvl w:ilvl="7">
      <w:start w:val="1"/>
      <w:numFmt w:val="bullet"/>
      <w:lvlText w:val="o"/>
      <w:lvlJc w:val="left"/>
      <w:pPr>
        <w:ind w:left="5193" w:hanging="360"/>
      </w:pPr>
      <w:rPr>
        <w:rFonts w:ascii="Courier New" w:cs="Courier New" w:eastAsia="Courier New" w:hAnsi="Courier New"/>
      </w:rPr>
    </w:lvl>
    <w:lvl w:ilvl="8">
      <w:start w:val="1"/>
      <w:numFmt w:val="bullet"/>
      <w:lvlText w:val="▪"/>
      <w:lvlJc w:val="left"/>
      <w:pPr>
        <w:ind w:left="5913"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BC4FE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BC4FED"/>
    <w:pPr>
      <w:ind w:left="720"/>
      <w:contextualSpacing w:val="1"/>
    </w:pPr>
  </w:style>
  <w:style w:type="character" w:styleId="Hyperlink">
    <w:name w:val="Hyperlink"/>
    <w:basedOn w:val="DefaultParagraphFont"/>
    <w:uiPriority w:val="99"/>
    <w:unhideWhenUsed w:val="1"/>
    <w:rsid w:val="00D214C6"/>
    <w:rPr>
      <w:color w:val="0563c1" w:themeColor="hyperlink"/>
      <w:u w:val="single"/>
    </w:rPr>
  </w:style>
  <w:style w:type="character" w:styleId="UnresolvedMention">
    <w:name w:val="Unresolved Mention"/>
    <w:basedOn w:val="DefaultParagraphFont"/>
    <w:uiPriority w:val="99"/>
    <w:rsid w:val="00D214C6"/>
    <w:rPr>
      <w:color w:val="605e5c"/>
      <w:shd w:color="auto" w:fill="e1dfdd" w:val="clear"/>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GSA@asnevents.net.a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v+UX1Y8LZnz1IqX1w4Pv9YAqrw==">CgMxLjA4AHIhMVNEWnlSUVZUZEotZlZKRGlOT1VFTFYwMEMxdXJzZmpi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2020-01-23T00:42:00Z</dcterms:created>
  <dc:creator>Anna MacDonald</dc:creator>
</cp:coreProperties>
</file>