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Jenny Donald Undergraduate Student Conference Award</w:t>
      </w:r>
    </w:p>
    <w:p w:rsidR="00000000" w:rsidDel="00000000" w:rsidP="00000000" w:rsidRDefault="00000000" w:rsidRPr="00000000" w14:paraId="00000002">
      <w:pPr>
        <w:ind w:left="-567" w:firstLine="0"/>
        <w:jc w:val="center"/>
        <w:rPr>
          <w:b w:val="1"/>
          <w:bCs w:val="1"/>
          <w:sz w:val="32"/>
          <w:szCs w:val="32"/>
        </w:rPr>
      </w:pPr>
      <w:r w:rsidDel="00000000" w:rsidR="00000000" w:rsidRPr="00000000">
        <w:rPr>
          <w:b w:val="1"/>
          <w:bCs w:val="1"/>
          <w:color w:val="0070c0"/>
          <w:sz w:val="32"/>
          <w:szCs w:val="32"/>
          <w:rtl w:val="0"/>
        </w:rPr>
        <w:t xml:space="preserve">2026 Award Application Cover Sheet</w:t>
      </w:r>
      <w:r w:rsidDel="00000000" w:rsidR="00000000" w:rsidRPr="00000000">
        <w:rPr>
          <w:rtl w:val="0"/>
        </w:rPr>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rPr/>
      </w:pPr>
      <w:r w:rsidDel="00000000" w:rsidR="00000000" w:rsidRPr="00000000">
        <w:rPr>
          <w:rtl w:val="0"/>
        </w:rPr>
        <w:t xml:space="preserve">Applications for GSA Jenny Donald Undergraduate Student Conference Awards are invited from science students completing their third year of undergraduate study at a tertiary institution. Applicants must be currently enrolled in an eligible degree and have completed at least one undergraduate course in Genetics. These awards provide the opportunity for students to attend the annual GSA Conference. PhD/Masters/Honours students are not eligible for these awards. </w:t>
      </w:r>
      <w:r w:rsidDel="00000000" w:rsidR="00000000" w:rsidRPr="00000000">
        <w:rPr>
          <w:rtl w:val="0"/>
        </w:rPr>
      </w:r>
    </w:p>
    <w:p w:rsidR="00000000" w:rsidDel="00000000" w:rsidP="00000000" w:rsidRDefault="00000000" w:rsidRPr="00000000" w14:paraId="00000005">
      <w:pPr>
        <w:ind w:left="-567" w:firstLine="0"/>
        <w:rPr/>
      </w:pPr>
      <w:r w:rsidDel="00000000" w:rsidR="00000000" w:rsidRPr="00000000">
        <w:rPr>
          <w:rtl w:val="0"/>
        </w:rPr>
      </w:r>
    </w:p>
    <w:p w:rsidR="00000000" w:rsidDel="00000000" w:rsidP="00000000" w:rsidRDefault="00000000" w:rsidRPr="00000000" w14:paraId="00000006">
      <w:pPr>
        <w:ind w:left="-567" w:firstLine="0"/>
        <w:rPr/>
      </w:pPr>
      <w:r w:rsidDel="00000000" w:rsidR="00000000" w:rsidRPr="00000000">
        <w:rPr>
          <w:rtl w:val="0"/>
        </w:rPr>
        <w:t xml:space="preserve">The award consists of:</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153" w:hanging="360"/>
        <w:rPr/>
      </w:pPr>
      <w:r w:rsidDel="00000000" w:rsidR="00000000" w:rsidRPr="00000000">
        <w:rPr>
          <w:rtl w:val="0"/>
        </w:rPr>
        <w:t xml:space="preserve">registration fees to attend the conference, including a dinner ticket (</w:t>
      </w:r>
      <w:r w:rsidDel="00000000" w:rsidR="00000000" w:rsidRPr="00000000">
        <w:rPr>
          <w:b w:val="1"/>
          <w:bCs w:val="1"/>
          <w:rtl w:val="0"/>
        </w:rPr>
        <w:t xml:space="preserve">Important note:</w:t>
      </w:r>
      <w:r w:rsidDel="00000000" w:rsidR="00000000" w:rsidRPr="00000000">
        <w:rPr>
          <w:rtl w:val="0"/>
        </w:rPr>
        <w:t xml:space="preserve"> all applicants should not register to the conference before their application outcome is known. Unsuccessful applicants will have guaranteed access to early bird registration fees).</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153" w:hanging="360"/>
        <w:rPr/>
      </w:pPr>
      <w:r w:rsidDel="00000000" w:rsidR="00000000" w:rsidRPr="00000000">
        <w:rPr>
          <w:rtl w:val="0"/>
        </w:rPr>
        <w:t xml:space="preserve">one year’s membership of GSA for the following calendar year</w:t>
      </w:r>
    </w:p>
    <w:p w:rsidR="00000000" w:rsidDel="00000000" w:rsidP="00000000" w:rsidRDefault="00000000" w:rsidRPr="00000000" w14:paraId="00000009">
      <w:pPr>
        <w:ind w:left="-567" w:firstLine="0"/>
        <w:rPr/>
      </w:pPr>
      <w:r w:rsidDel="00000000" w:rsidR="00000000" w:rsidRPr="00000000">
        <w:rPr>
          <w:rtl w:val="0"/>
        </w:rPr>
      </w:r>
    </w:p>
    <w:p w:rsidR="00000000" w:rsidDel="00000000" w:rsidP="00000000" w:rsidRDefault="00000000" w:rsidRPr="00000000" w14:paraId="0000000A">
      <w:pPr>
        <w:ind w:left="-567" w:firstLine="0"/>
        <w:rPr/>
      </w:pPr>
      <w:r w:rsidDel="00000000" w:rsidR="00000000" w:rsidRPr="00000000">
        <w:rPr>
          <w:rtl w:val="0"/>
        </w:rPr>
        <w:t xml:space="preserve">Students will need to make their own arrangements for travel and accommodation.</w:t>
      </w:r>
    </w:p>
    <w:p w:rsidR="00000000" w:rsidDel="00000000" w:rsidP="00000000" w:rsidRDefault="00000000" w:rsidRPr="00000000" w14:paraId="0000000B">
      <w:pPr>
        <w:ind w:left="-567" w:firstLine="0"/>
        <w:rPr>
          <w:b w:val="1"/>
          <w:bCs w:val="1"/>
        </w:rPr>
      </w:pPr>
      <w:r w:rsidDel="00000000" w:rsidR="00000000" w:rsidRPr="00000000">
        <w:rPr>
          <w:rtl w:val="0"/>
        </w:rPr>
      </w:r>
    </w:p>
    <w:tbl>
      <w:tblPr>
        <w:tblStyle w:val="Table1"/>
        <w:tblW w:w="901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0C">
            <w:pPr>
              <w:rPr/>
            </w:pPr>
            <w:r w:rsidDel="00000000" w:rsidR="00000000" w:rsidRPr="00000000">
              <w:rPr>
                <w:rtl w:val="0"/>
              </w:rPr>
              <w:t xml:space="preserve">Name of applicant</w:t>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Applicant email address</w:t>
            </w:r>
          </w:p>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Applicant address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University and degree enrolled in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Name of academic referee</w:t>
            </w:r>
          </w:p>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Referee’s email address</w:t>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b w:val="1"/>
                <w:bCs w:val="1"/>
              </w:rPr>
            </w:pPr>
            <w:r w:rsidDel="00000000" w:rsidR="00000000" w:rsidRPr="00000000">
              <w:rPr>
                <w:rtl w:val="0"/>
              </w:rPr>
            </w:r>
          </w:p>
        </w:tc>
      </w:tr>
    </w:tbl>
    <w:p w:rsidR="00000000" w:rsidDel="00000000" w:rsidP="00000000" w:rsidRDefault="00000000" w:rsidRPr="00000000" w14:paraId="00000020">
      <w:pPr>
        <w:ind w:left="-567" w:firstLine="0"/>
        <w:rPr>
          <w:b w:val="1"/>
          <w:bCs w:val="1"/>
        </w:rPr>
      </w:pPr>
      <w:r w:rsidDel="00000000" w:rsidR="00000000" w:rsidRPr="00000000">
        <w:rPr>
          <w:rtl w:val="0"/>
        </w:rPr>
      </w:r>
    </w:p>
    <w:p w:rsidR="00000000" w:rsidDel="00000000" w:rsidP="00000000" w:rsidRDefault="00000000" w:rsidRPr="00000000" w14:paraId="00000021">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2">
      <w:pPr>
        <w:ind w:left="-567" w:firstLine="0"/>
        <w:jc w:val="both"/>
        <w:rPr/>
      </w:pPr>
      <w:r w:rsidDel="00000000" w:rsidR="00000000" w:rsidRPr="00000000">
        <w:rPr>
          <w:rtl w:val="0"/>
        </w:rPr>
        <w:t xml:space="preserve">The following documents should be included:</w:t>
      </w:r>
    </w:p>
    <w:p w:rsidR="00000000" w:rsidDel="00000000" w:rsidP="00000000" w:rsidRDefault="00000000" w:rsidRPr="00000000" w14:paraId="00000023">
      <w:pPr>
        <w:numPr>
          <w:ilvl w:val="0"/>
          <w:numId w:val="1"/>
        </w:numPr>
        <w:ind w:left="153" w:hanging="360"/>
        <w:jc w:val="both"/>
        <w:rPr>
          <w:rFonts w:ascii="Calibri" w:cs="Calibri" w:eastAsia="Calibri" w:hAnsi="Calibri"/>
          <w:sz w:val="20"/>
          <w:szCs w:val="20"/>
        </w:rPr>
      </w:pPr>
      <w:r w:rsidDel="00000000" w:rsidR="00000000" w:rsidRPr="00000000">
        <w:rPr>
          <w:rtl w:val="0"/>
        </w:rPr>
        <w:t xml:space="preserve">this completed cover sheet</w:t>
      </w:r>
    </w:p>
    <w:p w:rsidR="00000000" w:rsidDel="00000000" w:rsidP="00000000" w:rsidRDefault="00000000" w:rsidRPr="00000000" w14:paraId="00000024">
      <w:pPr>
        <w:numPr>
          <w:ilvl w:val="0"/>
          <w:numId w:val="1"/>
        </w:numPr>
        <w:ind w:left="153" w:hanging="360"/>
        <w:jc w:val="both"/>
      </w:pPr>
      <w:r w:rsidDel="00000000" w:rsidR="00000000" w:rsidRPr="00000000">
        <w:rPr>
          <w:rtl w:val="0"/>
        </w:rPr>
        <w:t xml:space="preserve">the applicant’s CV (no more than two pages)</w:t>
      </w:r>
    </w:p>
    <w:p w:rsidR="00000000" w:rsidDel="00000000" w:rsidP="00000000" w:rsidRDefault="00000000" w:rsidRPr="00000000" w14:paraId="00000025">
      <w:pPr>
        <w:numPr>
          <w:ilvl w:val="0"/>
          <w:numId w:val="1"/>
        </w:numPr>
        <w:ind w:left="153" w:hanging="360"/>
        <w:jc w:val="both"/>
        <w:rPr>
          <w:rFonts w:ascii="Calibri" w:cs="Calibri" w:eastAsia="Calibri" w:hAnsi="Calibri"/>
          <w:sz w:val="20"/>
          <w:szCs w:val="20"/>
        </w:rPr>
      </w:pPr>
      <w:r w:rsidDel="00000000" w:rsidR="00000000" w:rsidRPr="00000000">
        <w:rPr>
          <w:rtl w:val="0"/>
        </w:rPr>
        <w:t xml:space="preserve">a copy of the applicant’s academic record (does not have to be certified)</w:t>
      </w:r>
    </w:p>
    <w:p w:rsidR="00000000" w:rsidDel="00000000" w:rsidP="00000000" w:rsidRDefault="00000000" w:rsidRPr="00000000" w14:paraId="00000026">
      <w:pPr>
        <w:numPr>
          <w:ilvl w:val="0"/>
          <w:numId w:val="1"/>
        </w:numPr>
        <w:ind w:left="153" w:hanging="360"/>
        <w:rPr>
          <w:rFonts w:ascii="Calibri" w:cs="Calibri" w:eastAsia="Calibri" w:hAnsi="Calibri"/>
          <w:sz w:val="20"/>
          <w:szCs w:val="20"/>
        </w:rPr>
      </w:pPr>
      <w:r w:rsidDel="00000000" w:rsidR="00000000" w:rsidRPr="00000000">
        <w:rPr>
          <w:rtl w:val="0"/>
        </w:rPr>
        <w:t xml:space="preserve">a one-page outline of the applicant’s interests in the field of genetics</w:t>
      </w:r>
    </w:p>
    <w:p w:rsidR="00000000" w:rsidDel="00000000" w:rsidP="00000000" w:rsidRDefault="00000000" w:rsidRPr="00000000" w14:paraId="00000027">
      <w:pPr>
        <w:numPr>
          <w:ilvl w:val="0"/>
          <w:numId w:val="1"/>
        </w:numPr>
        <w:ind w:left="153" w:hanging="360"/>
        <w:rPr>
          <w:rFonts w:ascii="Calibri" w:cs="Calibri" w:eastAsia="Calibri" w:hAnsi="Calibri"/>
          <w:sz w:val="20"/>
          <w:szCs w:val="20"/>
        </w:rPr>
      </w:pPr>
      <w:r w:rsidDel="00000000" w:rsidR="00000000" w:rsidRPr="00000000">
        <w:rPr>
          <w:rtl w:val="0"/>
        </w:rPr>
        <w:t xml:space="preserve">letter of support from an academic referee to be emailed directly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by the closing date with “Donald Award” and the applicant’s surname in the subject line.</w:t>
      </w:r>
      <w:r w:rsidDel="00000000" w:rsidR="00000000" w:rsidRPr="00000000">
        <w:rPr>
          <w:rtl w:val="0"/>
        </w:rPr>
      </w:r>
    </w:p>
    <w:p w:rsidR="00000000" w:rsidDel="00000000" w:rsidP="00000000" w:rsidRDefault="00000000" w:rsidRPr="00000000" w14:paraId="00000028">
      <w:pPr>
        <w:ind w:left="-567" w:firstLine="0"/>
        <w:rPr>
          <w:b w:val="1"/>
          <w:bCs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29">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A">
      <w:pPr>
        <w:ind w:left="-567" w:firstLine="0"/>
        <w:rPr/>
      </w:pPr>
      <w:r w:rsidDel="00000000" w:rsidR="00000000" w:rsidRPr="00000000">
        <w:rPr>
          <w:rtl w:val="0"/>
        </w:rPr>
        <w:t xml:space="preserve">Applications must be submitted by email by midnight (AEDT) </w:t>
      </w:r>
      <w:r w:rsidDel="00000000" w:rsidR="00000000" w:rsidRPr="00000000">
        <w:rPr>
          <w:rtl w:val="0"/>
        </w:rPr>
        <w:t xml:space="preserve">7</w:t>
      </w:r>
      <w:r w:rsidDel="00000000" w:rsidR="00000000" w:rsidRPr="00000000">
        <w:rPr>
          <w:vertAlign w:val="superscript"/>
          <w:rtl w:val="0"/>
        </w:rPr>
        <w:t xml:space="preserve">th</w:t>
      </w:r>
      <w:r w:rsidDel="00000000" w:rsidR="00000000" w:rsidRPr="00000000">
        <w:rPr>
          <w:rtl w:val="0"/>
        </w:rPr>
        <w:t xml:space="preserve"> May 2026</w:t>
      </w:r>
      <w:r w:rsidDel="00000000" w:rsidR="00000000" w:rsidRPr="00000000">
        <w:rPr>
          <w:rtl w:val="0"/>
        </w:rPr>
        <w:t xml:space="preserve"> to </w:t>
      </w:r>
      <w:hyperlink r:id="rId8">
        <w:r w:rsidDel="00000000" w:rsidR="00000000" w:rsidRPr="00000000">
          <w:rPr>
            <w:color w:val="1155cc"/>
            <w:u w:val="single"/>
            <w:rtl w:val="0"/>
          </w:rPr>
          <w:t xml:space="preserve">GSA@asnevents.net.au</w:t>
        </w:r>
      </w:hyperlink>
      <w:r w:rsidDel="00000000" w:rsidR="00000000" w:rsidRPr="00000000">
        <w:rPr>
          <w:rtl w:val="0"/>
        </w:rPr>
        <w:t xml:space="preserve"> with “Undergraduate Award” in the subject line.</w: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 Id="rId8" Type="http://schemas.openxmlformats.org/officeDocument/2006/relationships/hyperlink" Target="mailto:GSA@asnneven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HgAjMu05uvHJhGqKLS6HN8HPg==">CgMxLjAyCGguZ2pkZ3hzOAByITFJemo5UVRHWUtpTFA2WnoxOVAwZExsM1JJc1p2TjFDYw==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2020-01-23T01:45:00Z</dcterms:created>
  <dc:creator>Anna MacDonald</dc:creator>
</cp:coreProperties>
</file>