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firstLine="0"/>
        <w:jc w:val="center"/>
        <w:rPr>
          <w:rFonts w:ascii="Calibri" w:cs="Calibri" w:eastAsia="Calibri" w:hAnsi="Calibri"/>
          <w:b w:val="1"/>
          <w:bCs w:val="1"/>
          <w:color w:val="0070c0"/>
          <w:sz w:val="32"/>
          <w:szCs w:val="32"/>
          <w:u w:val="single"/>
        </w:rPr>
      </w:pPr>
      <w:r w:rsidDel="00000000" w:rsidR="00000000" w:rsidRPr="00000000">
        <w:rPr>
          <w:rFonts w:ascii="Calibri" w:cs="Calibri" w:eastAsia="Calibri" w:hAnsi="Calibri"/>
          <w:b w:val="1"/>
          <w:bCs w:val="1"/>
          <w:color w:val="0070c0"/>
          <w:sz w:val="32"/>
          <w:szCs w:val="32"/>
          <w:u w:val="single"/>
          <w:rtl w:val="0"/>
        </w:rPr>
        <w:t xml:space="preserve">Genetics Society of AustralAsia Philip Batterham Conference Award</w:t>
      </w:r>
    </w:p>
    <w:p w:rsidR="00000000" w:rsidDel="00000000" w:rsidP="00000000" w:rsidRDefault="00000000" w:rsidRPr="00000000" w14:paraId="00000002">
      <w:pPr>
        <w:ind w:left="-567" w:firstLine="0"/>
        <w:jc w:val="center"/>
        <w:rPr>
          <w:rFonts w:ascii="Calibri" w:cs="Calibri" w:eastAsia="Calibri" w:hAnsi="Calibri"/>
          <w:b w:val="1"/>
          <w:bCs w:val="1"/>
          <w:color w:val="0070c0"/>
          <w:sz w:val="32"/>
          <w:szCs w:val="32"/>
        </w:rPr>
      </w:pPr>
      <w:r w:rsidDel="00000000" w:rsidR="00000000" w:rsidRPr="00000000">
        <w:rPr>
          <w:rFonts w:ascii="Calibri" w:cs="Calibri" w:eastAsia="Calibri" w:hAnsi="Calibri"/>
          <w:b w:val="1"/>
          <w:bCs w:val="1"/>
          <w:color w:val="0070c0"/>
          <w:sz w:val="32"/>
          <w:szCs w:val="32"/>
          <w:rtl w:val="0"/>
        </w:rPr>
        <w:t xml:space="preserve">2026 Award Application Cover Sheet</w:t>
      </w:r>
    </w:p>
    <w:p w:rsidR="00000000" w:rsidDel="00000000" w:rsidP="00000000" w:rsidRDefault="00000000" w:rsidRPr="00000000" w14:paraId="00000003">
      <w:pPr>
        <w:ind w:left="-567"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4">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Philip Batterham Conference Prize is granted annually to assist Honours and Masters students who are members of GSA to attend the annual conference. The GSA committee may elect to offer more than one award in a given year.</w:t>
      </w:r>
    </w:p>
    <w:p w:rsidR="00000000" w:rsidDel="00000000" w:rsidP="00000000" w:rsidRDefault="00000000" w:rsidRPr="00000000" w14:paraId="00000005">
      <w:pPr>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6">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Phil Batterham has been a strong supporter of the Genetics Society of AustralAsia, serving as President from 2010-2012 and the Victorian Representative on the committee from 1996-2022. Phil was awarded the Genetics Society of AustralAsia MJD White Medal in 2015 for his research excellence in the field of insecticide resistance. Phil is an Emeritus Professor of Genetics at the School of BioSciences at University of Melbourne. </w:t>
      </w:r>
    </w:p>
    <w:p w:rsidR="00000000" w:rsidDel="00000000" w:rsidP="00000000" w:rsidRDefault="00000000" w:rsidRPr="00000000" w14:paraId="00000007">
      <w:pPr>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rules of the award are as follows: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rtl w:val="0"/>
        </w:rPr>
        <w:t xml:space="preserve">Award</w:t>
      </w:r>
      <w:r w:rsidDel="00000000" w:rsidR="00000000" w:rsidRPr="00000000">
        <w:rPr>
          <w:rFonts w:ascii="Calibri" w:cs="Calibri" w:eastAsia="Calibri" w:hAnsi="Calibri"/>
          <w:color w:val="000000"/>
          <w:rtl w:val="0"/>
        </w:rPr>
        <w:t xml:space="preserve"> is awarded annually</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GSA Committee will serve as the adjudication panel that awards the prize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applicant must be a current financial member of GSA when the application is lodged</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applicant must be a currently enrolled or recently completed (within six months) Honours or Masters candidate when the application is lodged</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Applicants must present their work at the GSA conference in the year that they apply. Both oral and poster presentations are acceptable. The presentation must substantially consist of the student’s own work and the contribution of others must be clearly acknowledged.</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F">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award consists of:</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color w:val="000000"/>
          <w:rtl w:val="0"/>
        </w:rPr>
        <w:t xml:space="preserve"> certificate</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the opportunity to present a talk or poster at the conference</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egistration fees to attend the conference, including a dinner ticket (</w:t>
      </w:r>
      <w:r w:rsidDel="00000000" w:rsidR="00000000" w:rsidRPr="00000000">
        <w:rPr>
          <w:rFonts w:ascii="Calibri" w:cs="Calibri" w:eastAsia="Calibri" w:hAnsi="Calibri"/>
          <w:b w:val="1"/>
          <w:bCs w:val="1"/>
          <w:color w:val="000000"/>
          <w:rtl w:val="0"/>
        </w:rPr>
        <w:t xml:space="preserve">Important note:</w:t>
      </w:r>
      <w:r w:rsidDel="00000000" w:rsidR="00000000" w:rsidRPr="00000000">
        <w:rPr>
          <w:rFonts w:ascii="Calibri" w:cs="Calibri" w:eastAsia="Calibri" w:hAnsi="Calibri"/>
          <w:color w:val="000000"/>
          <w:rtl w:val="0"/>
        </w:rPr>
        <w:t xml:space="preserve"> all applicants should not register to the conference before their application outcome is known. Unsuccessful applicants will have guaranteed access to early bird registration fees).</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u w:val="none"/>
        </w:rPr>
      </w:pPr>
      <w:r w:rsidDel="00000000" w:rsidR="00000000" w:rsidRPr="00000000">
        <w:rPr>
          <w:rFonts w:ascii="Calibri" w:cs="Calibri" w:eastAsia="Calibri" w:hAnsi="Calibri"/>
          <w:rtl w:val="0"/>
        </w:rPr>
        <w:t xml:space="preserve">one year’s membership of GSA for the following calendar year</w:t>
      </w:r>
    </w:p>
    <w:p w:rsidR="00000000" w:rsidDel="00000000" w:rsidP="00000000" w:rsidRDefault="00000000" w:rsidRPr="00000000" w14:paraId="00000014">
      <w:pPr>
        <w:ind w:left="-567"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5">
      <w:pPr>
        <w:ind w:left="-567" w:firstLine="0"/>
        <w:rPr>
          <w:rFonts w:ascii="Calibri" w:cs="Calibri" w:eastAsia="Calibri" w:hAnsi="Calibri"/>
          <w:b w:val="1"/>
          <w:bCs w:val="1"/>
        </w:rPr>
      </w:pPr>
      <w:r w:rsidDel="00000000" w:rsidR="00000000" w:rsidRPr="00000000">
        <w:rPr>
          <w:rFonts w:ascii="Calibri" w:cs="Calibri" w:eastAsia="Calibri" w:hAnsi="Calibri"/>
          <w:b w:val="1"/>
          <w:bCs w:val="1"/>
          <w:color w:val="0070c0"/>
          <w:sz w:val="28"/>
          <w:szCs w:val="28"/>
          <w:u w:val="single"/>
          <w:rtl w:val="0"/>
        </w:rPr>
        <w:t xml:space="preserve">Application information – Philip Batterham Conference Prize 2026</w:t>
      </w:r>
      <w:r w:rsidDel="00000000" w:rsidR="00000000" w:rsidRPr="00000000">
        <w:rPr>
          <w:rtl w:val="0"/>
        </w:rPr>
      </w:r>
    </w:p>
    <w:p w:rsidR="00000000" w:rsidDel="00000000" w:rsidP="00000000" w:rsidRDefault="00000000" w:rsidRPr="00000000" w14:paraId="00000016">
      <w:pPr>
        <w:ind w:left="-567" w:firstLine="0"/>
        <w:rPr>
          <w:rFonts w:ascii="Calibri" w:cs="Calibri" w:eastAsia="Calibri" w:hAnsi="Calibri"/>
        </w:rPr>
      </w:pPr>
      <w:r w:rsidDel="00000000" w:rsidR="00000000" w:rsidRPr="00000000">
        <w:rPr>
          <w:rFonts w:ascii="Calibri" w:cs="Calibri" w:eastAsia="Calibri" w:hAnsi="Calibri"/>
          <w:rtl w:val="0"/>
        </w:rPr>
        <w:t xml:space="preserve">Please provide the details of the person nominated for the Philip Batterham Conference Prize here:</w:t>
      </w:r>
    </w:p>
    <w:p w:rsidR="00000000" w:rsidDel="00000000" w:rsidP="00000000" w:rsidRDefault="00000000" w:rsidRPr="00000000" w14:paraId="00000017">
      <w:pPr>
        <w:ind w:left="-567" w:firstLine="0"/>
        <w:rPr>
          <w:rFonts w:ascii="Calibri" w:cs="Calibri" w:eastAsia="Calibri" w:hAnsi="Calibri"/>
          <w:b w:val="1"/>
          <w:bCs w:val="1"/>
        </w:rPr>
      </w:pPr>
      <w:r w:rsidDel="00000000" w:rsidR="00000000" w:rsidRPr="00000000">
        <w:rPr>
          <w:rtl w:val="0"/>
        </w:rPr>
      </w:r>
    </w:p>
    <w:tbl>
      <w:tblPr>
        <w:tblStyle w:val="Table1"/>
        <w:tblW w:w="901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471"/>
        <w:tblGridChange w:id="0">
          <w:tblGrid>
            <w:gridCol w:w="3539"/>
            <w:gridCol w:w="5471"/>
          </w:tblGrid>
        </w:tblGridChange>
      </w:tblGrid>
      <w:tr>
        <w:trPr>
          <w:cantSplit w:val="0"/>
          <w:tblHeader w:val="0"/>
        </w:trPr>
        <w:tc>
          <w:tcPr/>
          <w:p w:rsidR="00000000" w:rsidDel="00000000" w:rsidP="00000000" w:rsidRDefault="00000000" w:rsidRPr="00000000" w14:paraId="00000018">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nominee</w:t>
            </w:r>
          </w:p>
        </w:tc>
        <w:tc>
          <w:tcPr/>
          <w:p w:rsidR="00000000" w:rsidDel="00000000" w:rsidP="00000000" w:rsidRDefault="00000000" w:rsidRPr="00000000" w14:paraId="00000019">
            <w:pPr>
              <w:spacing w:line="360" w:lineRule="auto"/>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A">
            <w:pPr>
              <w:spacing w:line="360" w:lineRule="auto"/>
              <w:rPr>
                <w:rFonts w:ascii="Calibri" w:cs="Calibri" w:eastAsia="Calibri" w:hAnsi="Calibri"/>
              </w:rPr>
            </w:pPr>
            <w:r w:rsidDel="00000000" w:rsidR="00000000" w:rsidRPr="00000000">
              <w:rPr>
                <w:rFonts w:ascii="Calibri" w:cs="Calibri" w:eastAsia="Calibri" w:hAnsi="Calibri"/>
                <w:rtl w:val="0"/>
              </w:rPr>
              <w:t xml:space="preserve">Nominee email address</w:t>
            </w:r>
          </w:p>
        </w:tc>
        <w:tc>
          <w:tcPr/>
          <w:p w:rsidR="00000000" w:rsidDel="00000000" w:rsidP="00000000" w:rsidRDefault="00000000" w:rsidRPr="00000000" w14:paraId="0000001B">
            <w:pPr>
              <w:spacing w:line="360" w:lineRule="auto"/>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1C">
      <w:pPr>
        <w:ind w:left="-567"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D">
      <w:pP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you are submitting a nomination on behalf of someone else, please provide your (the nominator’s) details below. If you are self-nominating, please leave this section blank. Note that both self-nominations and nominations on behalf of others are permitted and will be considered equally.</w:t>
      </w:r>
    </w:p>
    <w:p w:rsidR="00000000" w:rsidDel="00000000" w:rsidP="00000000" w:rsidRDefault="00000000" w:rsidRPr="00000000" w14:paraId="0000001E">
      <w:pPr>
        <w:ind w:left="-567" w:firstLine="0"/>
        <w:jc w:val="both"/>
        <w:rPr>
          <w:rFonts w:ascii="Calibri" w:cs="Calibri" w:eastAsia="Calibri" w:hAnsi="Calibri"/>
          <w:color w:val="000000"/>
        </w:rPr>
      </w:pPr>
      <w:r w:rsidDel="00000000" w:rsidR="00000000" w:rsidRPr="00000000">
        <w:rPr>
          <w:rtl w:val="0"/>
        </w:rPr>
      </w:r>
    </w:p>
    <w:tbl>
      <w:tblPr>
        <w:tblStyle w:val="Table2"/>
        <w:tblW w:w="901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471"/>
        <w:tblGridChange w:id="0">
          <w:tblGrid>
            <w:gridCol w:w="3539"/>
            <w:gridCol w:w="5471"/>
          </w:tblGrid>
        </w:tblGridChange>
      </w:tblGrid>
      <w:tr>
        <w:trPr>
          <w:cantSplit w:val="0"/>
          <w:tblHeader w:val="0"/>
        </w:trPr>
        <w:tc>
          <w:tcPr/>
          <w:p w:rsidR="00000000" w:rsidDel="00000000" w:rsidP="00000000" w:rsidRDefault="00000000" w:rsidRPr="00000000" w14:paraId="0000001F">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nominator</w:t>
            </w:r>
          </w:p>
        </w:tc>
        <w:tc>
          <w:tcPr/>
          <w:p w:rsidR="00000000" w:rsidDel="00000000" w:rsidP="00000000" w:rsidRDefault="00000000" w:rsidRPr="00000000" w14:paraId="00000020">
            <w:pPr>
              <w:spacing w:line="360" w:lineRule="auto"/>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line="360" w:lineRule="auto"/>
              <w:rPr>
                <w:rFonts w:ascii="Calibri" w:cs="Calibri" w:eastAsia="Calibri" w:hAnsi="Calibri"/>
              </w:rPr>
            </w:pPr>
            <w:r w:rsidDel="00000000" w:rsidR="00000000" w:rsidRPr="00000000">
              <w:rPr>
                <w:rFonts w:ascii="Calibri" w:cs="Calibri" w:eastAsia="Calibri" w:hAnsi="Calibri"/>
                <w:rtl w:val="0"/>
              </w:rPr>
              <w:t xml:space="preserve">Nominator email address</w:t>
            </w:r>
          </w:p>
        </w:tc>
        <w:tc>
          <w:tcPr/>
          <w:p w:rsidR="00000000" w:rsidDel="00000000" w:rsidP="00000000" w:rsidRDefault="00000000" w:rsidRPr="00000000" w14:paraId="00000022">
            <w:pPr>
              <w:spacing w:line="360" w:lineRule="auto"/>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23">
      <w:pPr>
        <w:ind w:left="-567" w:firstLine="0"/>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4">
      <w:pPr>
        <w:ind w:left="-567" w:firstLine="0"/>
        <w:rPr>
          <w:rFonts w:ascii="Calibri" w:cs="Calibri" w:eastAsia="Calibri" w:hAnsi="Calibri"/>
        </w:rPr>
      </w:pPr>
      <w:r w:rsidDel="00000000" w:rsidR="00000000" w:rsidRPr="00000000">
        <w:rPr>
          <w:rFonts w:ascii="Calibri" w:cs="Calibri" w:eastAsia="Calibri" w:hAnsi="Calibri"/>
          <w:b w:val="1"/>
          <w:bCs w:val="1"/>
          <w:color w:val="000000"/>
          <w:rtl w:val="0"/>
        </w:rPr>
        <w:t xml:space="preserve">Award checklist</w:t>
      </w:r>
      <w:r w:rsidDel="00000000" w:rsidR="00000000" w:rsidRPr="00000000">
        <w:rPr>
          <w:rtl w:val="0"/>
        </w:rPr>
      </w:r>
    </w:p>
    <w:p w:rsidR="00000000" w:rsidDel="00000000" w:rsidP="00000000" w:rsidRDefault="00000000" w:rsidRPr="00000000" w14:paraId="00000025">
      <w:pPr>
        <w:ind w:left="-567" w:firstLine="0"/>
        <w:jc w:val="both"/>
        <w:rPr>
          <w:rFonts w:ascii="Calibri" w:cs="Calibri" w:eastAsia="Calibri" w:hAnsi="Calibri"/>
        </w:rPr>
      </w:pPr>
      <w:r w:rsidDel="00000000" w:rsidR="00000000" w:rsidRPr="00000000">
        <w:rPr>
          <w:rFonts w:ascii="Calibri" w:cs="Calibri" w:eastAsia="Calibri" w:hAnsi="Calibri"/>
          <w:color w:val="000000"/>
          <w:rtl w:val="0"/>
        </w:rPr>
        <w:t xml:space="preserve">The following documents should be included:</w:t>
      </w:r>
      <w:r w:rsidDel="00000000" w:rsidR="00000000" w:rsidRPr="00000000">
        <w:rPr>
          <w:rtl w:val="0"/>
        </w:rPr>
      </w:r>
    </w:p>
    <w:p w:rsidR="00000000" w:rsidDel="00000000" w:rsidP="00000000" w:rsidRDefault="00000000" w:rsidRPr="00000000" w14:paraId="00000026">
      <w:pPr>
        <w:numPr>
          <w:ilvl w:val="0"/>
          <w:numId w:val="2"/>
        </w:numPr>
        <w:ind w:left="153" w:hanging="360"/>
        <w:jc w:val="both"/>
        <w:rPr>
          <w:rFonts w:ascii="Calibri" w:cs="Calibri" w:eastAsia="Calibri" w:hAnsi="Calibri"/>
          <w:color w:val="000000"/>
        </w:rPr>
      </w:pPr>
      <w:r w:rsidDel="00000000" w:rsidR="00000000" w:rsidRPr="00000000">
        <w:rPr>
          <w:rFonts w:ascii="Calibri" w:cs="Calibri" w:eastAsia="Calibri" w:hAnsi="Calibri"/>
          <w:rtl w:val="0"/>
        </w:rPr>
        <w:t xml:space="preserve">this completed cover sheet</w:t>
      </w:r>
    </w:p>
    <w:p w:rsidR="00000000" w:rsidDel="00000000" w:rsidP="00000000" w:rsidRDefault="00000000" w:rsidRPr="00000000" w14:paraId="00000027">
      <w:pPr>
        <w:numPr>
          <w:ilvl w:val="0"/>
          <w:numId w:val="2"/>
        </w:numPr>
        <w:ind w:left="153"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applicant’s CV (no more than </w:t>
      </w:r>
      <w:r w:rsidDel="00000000" w:rsidR="00000000" w:rsidRPr="00000000">
        <w:rPr>
          <w:rFonts w:ascii="Calibri" w:cs="Calibri" w:eastAsia="Calibri" w:hAnsi="Calibri"/>
          <w:rtl w:val="0"/>
        </w:rPr>
        <w:t xml:space="preserve">two</w:t>
      </w:r>
      <w:r w:rsidDel="00000000" w:rsidR="00000000" w:rsidRPr="00000000">
        <w:rPr>
          <w:rFonts w:ascii="Calibri" w:cs="Calibri" w:eastAsia="Calibri" w:hAnsi="Calibri"/>
          <w:color w:val="000000"/>
          <w:rtl w:val="0"/>
        </w:rPr>
        <w:t xml:space="preserve"> pages)</w:t>
      </w:r>
    </w:p>
    <w:p w:rsidR="00000000" w:rsidDel="00000000" w:rsidP="00000000" w:rsidRDefault="00000000" w:rsidRPr="00000000" w14:paraId="00000028">
      <w:pPr>
        <w:numPr>
          <w:ilvl w:val="0"/>
          <w:numId w:val="2"/>
        </w:numPr>
        <w:ind w:left="153"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one-page summary of the applicant’s Honours or Masters research</w:t>
      </w:r>
    </w:p>
    <w:p w:rsidR="00000000" w:rsidDel="00000000" w:rsidP="00000000" w:rsidRDefault="00000000" w:rsidRPr="00000000" w14:paraId="00000029">
      <w:pPr>
        <w:numPr>
          <w:ilvl w:val="0"/>
          <w:numId w:val="2"/>
        </w:numPr>
        <w:ind w:left="153"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letter of support from one referee (preferably the applicant's research supervisor or an academic familiar with the project) to be emailed directly to </w:t>
      </w:r>
      <w:hyperlink r:id="rId7">
        <w:r w:rsidDel="00000000" w:rsidR="00000000" w:rsidRPr="00000000">
          <w:rPr>
            <w:rFonts w:ascii="Calibri" w:cs="Calibri" w:eastAsia="Calibri" w:hAnsi="Calibri"/>
            <w:color w:val="1155cc"/>
            <w:u w:val="single"/>
            <w:rtl w:val="0"/>
          </w:rPr>
          <w:t xml:space="preserve">GSA@asnevents.net.au</w:t>
        </w:r>
      </w:hyperlink>
      <w:r w:rsidDel="00000000" w:rsidR="00000000" w:rsidRPr="00000000">
        <w:rPr>
          <w:rFonts w:ascii="Calibri" w:cs="Calibri" w:eastAsia="Calibri" w:hAnsi="Calibri"/>
          <w:color w:val="000000"/>
          <w:rtl w:val="0"/>
        </w:rPr>
        <w:t xml:space="preserve"> by the closing date with “Batterham </w:t>
      </w:r>
      <w:r w:rsidDel="00000000" w:rsidR="00000000" w:rsidRPr="00000000">
        <w:rPr>
          <w:rFonts w:ascii="Calibri" w:cs="Calibri" w:eastAsia="Calibri" w:hAnsi="Calibri"/>
          <w:rtl w:val="0"/>
        </w:rPr>
        <w:t xml:space="preserve">Award</w:t>
      </w:r>
      <w:r w:rsidDel="00000000" w:rsidR="00000000" w:rsidRPr="00000000">
        <w:rPr>
          <w:rFonts w:ascii="Calibri" w:cs="Calibri" w:eastAsia="Calibri" w:hAnsi="Calibri"/>
          <w:color w:val="000000"/>
          <w:rtl w:val="0"/>
        </w:rPr>
        <w:t xml:space="preserve">” and the applicant’s surname in the subject line.</w:t>
      </w:r>
    </w:p>
    <w:p w:rsidR="00000000" w:rsidDel="00000000" w:rsidP="00000000" w:rsidRDefault="00000000" w:rsidRPr="00000000" w14:paraId="0000002A">
      <w:pPr>
        <w:ind w:left="-567"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B">
      <w:pPr>
        <w:ind w:left="-567"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How to apply</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Applications must be submitted by email by midnight (AEDT) </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color w:val="000000"/>
          <w:rtl w:val="0"/>
        </w:rPr>
        <w:t xml:space="preserve">8</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February</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2026 to </w:t>
      </w:r>
      <w:hyperlink r:id="rId8">
        <w:r w:rsidDel="00000000" w:rsidR="00000000" w:rsidRPr="00000000">
          <w:rPr>
            <w:rFonts w:ascii="Calibri" w:cs="Calibri" w:eastAsia="Calibri" w:hAnsi="Calibri"/>
            <w:color w:val="1155cc"/>
            <w:u w:val="single"/>
            <w:rtl w:val="0"/>
          </w:rPr>
          <w:t xml:space="preserve">GSA@asnevents.net.au</w:t>
        </w:r>
      </w:hyperlink>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color w:val="000000"/>
          <w:rtl w:val="0"/>
        </w:rPr>
        <w:t xml:space="preserve">Batterham </w:t>
      </w:r>
      <w:r w:rsidDel="00000000" w:rsidR="00000000" w:rsidRPr="00000000">
        <w:rPr>
          <w:rFonts w:ascii="Calibri" w:cs="Calibri" w:eastAsia="Calibri" w:hAnsi="Calibri"/>
          <w:rtl w:val="0"/>
        </w:rPr>
        <w:t xml:space="preserve">Award” in the subject line.</w:t>
      </w:r>
    </w:p>
    <w:sectPr>
      <w:pgSz w:h="16840" w:w="11900" w:orient="portrait"/>
      <w:pgMar w:bottom="1134" w:top="1134" w:left="1361" w:right="130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53" w:hanging="360"/>
      </w:pPr>
      <w:rPr/>
    </w:lvl>
    <w:lvl w:ilvl="1">
      <w:start w:val="1"/>
      <w:numFmt w:val="lowerLetter"/>
      <w:lvlText w:val="%2."/>
      <w:lvlJc w:val="left"/>
      <w:pPr>
        <w:ind w:left="873" w:hanging="360"/>
      </w:pPr>
      <w:rPr/>
    </w:lvl>
    <w:lvl w:ilvl="2">
      <w:start w:val="1"/>
      <w:numFmt w:val="lowerRoman"/>
      <w:lvlText w:val="%3."/>
      <w:lvlJc w:val="right"/>
      <w:pPr>
        <w:ind w:left="1593" w:hanging="180"/>
      </w:pPr>
      <w:rPr/>
    </w:lvl>
    <w:lvl w:ilvl="3">
      <w:start w:val="1"/>
      <w:numFmt w:val="decimal"/>
      <w:lvlText w:val="%4."/>
      <w:lvlJc w:val="left"/>
      <w:pPr>
        <w:ind w:left="2313" w:hanging="360"/>
      </w:pPr>
      <w:rPr/>
    </w:lvl>
    <w:lvl w:ilvl="4">
      <w:start w:val="1"/>
      <w:numFmt w:val="lowerLetter"/>
      <w:lvlText w:val="%5."/>
      <w:lvlJc w:val="left"/>
      <w:pPr>
        <w:ind w:left="3033" w:hanging="360"/>
      </w:pPr>
      <w:rPr/>
    </w:lvl>
    <w:lvl w:ilvl="5">
      <w:start w:val="1"/>
      <w:numFmt w:val="lowerRoman"/>
      <w:lvlText w:val="%6."/>
      <w:lvlJc w:val="right"/>
      <w:pPr>
        <w:ind w:left="3753" w:hanging="180"/>
      </w:pPr>
      <w:rPr/>
    </w:lvl>
    <w:lvl w:ilvl="6">
      <w:start w:val="1"/>
      <w:numFmt w:val="decimal"/>
      <w:lvlText w:val="%7."/>
      <w:lvlJc w:val="left"/>
      <w:pPr>
        <w:ind w:left="4473" w:hanging="360"/>
      </w:pPr>
      <w:rPr/>
    </w:lvl>
    <w:lvl w:ilvl="7">
      <w:start w:val="1"/>
      <w:numFmt w:val="lowerLetter"/>
      <w:lvlText w:val="%8."/>
      <w:lvlJc w:val="left"/>
      <w:pPr>
        <w:ind w:left="5193" w:hanging="360"/>
      </w:pPr>
      <w:rPr/>
    </w:lvl>
    <w:lvl w:ilvl="8">
      <w:start w:val="1"/>
      <w:numFmt w:val="lowerRoman"/>
      <w:lvlText w:val="%9."/>
      <w:lvlJc w:val="right"/>
      <w:pPr>
        <w:ind w:left="5913"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53" w:hanging="360"/>
      </w:pPr>
      <w:rPr>
        <w:rFonts w:ascii="Noto Sans" w:cs="Noto Sans" w:eastAsia="Noto Sans" w:hAnsi="Noto Sans"/>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w:cs="Noto Sans" w:eastAsia="Noto Sans" w:hAnsi="Noto Sans"/>
      </w:rPr>
    </w:lvl>
    <w:lvl w:ilvl="3">
      <w:start w:val="1"/>
      <w:numFmt w:val="bullet"/>
      <w:lvlText w:val="●"/>
      <w:lvlJc w:val="left"/>
      <w:pPr>
        <w:ind w:left="2313" w:hanging="360"/>
      </w:pPr>
      <w:rPr>
        <w:rFonts w:ascii="Noto Sans" w:cs="Noto Sans" w:eastAsia="Noto Sans" w:hAnsi="Noto San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w:cs="Noto Sans" w:eastAsia="Noto Sans" w:hAnsi="Noto Sans"/>
      </w:rPr>
    </w:lvl>
    <w:lvl w:ilvl="6">
      <w:start w:val="1"/>
      <w:numFmt w:val="bullet"/>
      <w:lvlText w:val="●"/>
      <w:lvlJc w:val="left"/>
      <w:pPr>
        <w:ind w:left="4473" w:hanging="360"/>
      </w:pPr>
      <w:rPr>
        <w:rFonts w:ascii="Noto Sans" w:cs="Noto Sans" w:eastAsia="Noto Sans" w:hAnsi="Noto San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bCs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bCs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bCs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C4FE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C4FED"/>
    <w:pPr>
      <w:ind w:left="720"/>
      <w:contextualSpacing w:val="1"/>
    </w:pPr>
    <w:rPr>
      <w:rFonts w:ascii="Calibri" w:cs="Calibri" w:hAnsi="Calibri" w:eastAsiaTheme="minorEastAsia"/>
      <w:lang w:val="en-US"/>
    </w:rPr>
  </w:style>
  <w:style w:type="character" w:styleId="Hyperlink">
    <w:name w:val="Hyperlink"/>
    <w:basedOn w:val="DefaultParagraphFont"/>
    <w:uiPriority w:val="99"/>
    <w:unhideWhenUsed w:val="1"/>
    <w:rsid w:val="00D214C6"/>
    <w:rPr>
      <w:color w:val="0563c1" w:themeColor="hyperlink"/>
      <w:u w:val="single"/>
    </w:rPr>
  </w:style>
  <w:style w:type="character" w:styleId="UnresolvedMention">
    <w:name w:val="Unresolved Mention"/>
    <w:basedOn w:val="DefaultParagraphFont"/>
    <w:uiPriority w:val="99"/>
    <w:rsid w:val="00D214C6"/>
    <w:rPr>
      <w:color w:val="605e5c"/>
      <w:shd w:color="auto" w:fill="e1dfdd" w:val="clea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NormalWeb">
    <w:name w:val="Normal (Web)"/>
    <w:basedOn w:val="Normal"/>
    <w:uiPriority w:val="99"/>
    <w:semiHidden w:val="1"/>
    <w:unhideWhenUsed w:val="1"/>
    <w:rsid w:val="005C1AC9"/>
    <w:pPr>
      <w:spacing w:after="100" w:afterAutospacing="1" w:before="100" w:beforeAutospacing="1"/>
    </w:p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SA@asnevents.net.au" TargetMode="External"/><Relationship Id="rId8" Type="http://schemas.openxmlformats.org/officeDocument/2006/relationships/hyperlink" Target="mailto:GSA@asnevents.net.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h7X5SNB7aFWLVu3U1jZNm2pQGg==">CgMxLjA4AHIhMWtNZkY0V1hndDQtQmNDNFk1VkktNlpVWFRYRjZnTWRJ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2020-01-23T00:42:00Z</dcterms:created>
  <dc:creator>Anna MacDonald</dc:creator>
</cp:coreProperties>
</file>